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56AC8" w:rsidRPr="00F531EB" w:rsidRDefault="00656AC8" w:rsidP="00F80F9A">
      <w:pPr>
        <w:spacing w:line="360" w:lineRule="auto"/>
        <w:jc w:val="both"/>
        <w:rPr>
          <w:b/>
          <w:bCs/>
          <w:sz w:val="32"/>
          <w:szCs w:val="32"/>
        </w:rPr>
      </w:pPr>
      <w:r w:rsidRPr="00454DBE">
        <w:rPr>
          <w:b/>
          <w:bCs/>
          <w:sz w:val="32"/>
          <w:szCs w:val="32"/>
        </w:rPr>
        <w:t>I</w:t>
      </w:r>
      <w:r w:rsidRPr="00F531EB">
        <w:rPr>
          <w:b/>
          <w:bCs/>
          <w:sz w:val="32"/>
          <w:szCs w:val="32"/>
        </w:rPr>
        <w:t>. Le gasoil :</w:t>
      </w:r>
    </w:p>
    <w:p w:rsidR="00656AC8" w:rsidRPr="00F531EB" w:rsidRDefault="00656AC8" w:rsidP="00F80F9A">
      <w:pPr>
        <w:spacing w:line="360" w:lineRule="auto"/>
        <w:jc w:val="both"/>
        <w:rPr>
          <w:b/>
          <w:bCs/>
          <w:sz w:val="28"/>
          <w:szCs w:val="28"/>
        </w:rPr>
      </w:pPr>
      <w:r w:rsidRPr="00F531EB">
        <w:rPr>
          <w:b/>
          <w:bCs/>
          <w:sz w:val="28"/>
          <w:szCs w:val="28"/>
        </w:rPr>
        <w:t>I.1.Introduction :</w:t>
      </w:r>
    </w:p>
    <w:p w:rsidR="00656AC8" w:rsidRPr="007D7279" w:rsidRDefault="00656AC8" w:rsidP="00F80F9A">
      <w:pPr>
        <w:spacing w:line="360" w:lineRule="auto"/>
        <w:jc w:val="both"/>
      </w:pPr>
      <w:r w:rsidRPr="007D7279">
        <w:t xml:space="preserve">Le carburant gasoil est destiné à l’alimentation des moteurs </w:t>
      </w:r>
      <w:r>
        <w:t>D</w:t>
      </w:r>
      <w:r w:rsidRPr="007D7279">
        <w:t xml:space="preserve">iesel équipant des voitures particulières et des véhicules utilitaires depuis la camionnette légère jusqu'au poids lourd de 38 tonnes en charge. Une telle diversité des usages peut compliquer la recherche de critères de qualité pertinents ; mais dans chaque situation ce sera le type d’application le plus exigeant très souvent en l’occurrence la voiture particulière qui déterminera les spécifications du carburant. </w:t>
      </w:r>
    </w:p>
    <w:p w:rsidR="00656AC8" w:rsidRPr="007D7279" w:rsidRDefault="00656AC8" w:rsidP="00F80F9A">
      <w:pPr>
        <w:spacing w:line="360" w:lineRule="auto"/>
        <w:jc w:val="both"/>
      </w:pPr>
      <w:r w:rsidRPr="007D7279">
        <w:t xml:space="preserve">On notera également que d’autres types de moteurs </w:t>
      </w:r>
      <w:r>
        <w:t>D</w:t>
      </w:r>
      <w:r w:rsidRPr="007D7279">
        <w:t>iesels non routiers – bateaux de pèche engins de travaux publics</w:t>
      </w:r>
      <w:r>
        <w:t>,</w:t>
      </w:r>
      <w:r w:rsidRPr="007D7279">
        <w:t xml:space="preserve"> tracteurs agricoles</w:t>
      </w:r>
      <w:r>
        <w:t xml:space="preserve"> et</w:t>
      </w:r>
      <w:r w:rsidRPr="007D7279">
        <w:t xml:space="preserve"> gros navires … utilisent des carburant distincts du gazole (</w:t>
      </w:r>
      <w:r>
        <w:t>D</w:t>
      </w:r>
      <w:r w:rsidRPr="007D7279">
        <w:t>iesel marine, fuel domestique, fuel lourd). Certaines caractéristiques imposées ou recommandées pour ces produi</w:t>
      </w:r>
      <w:r w:rsidRPr="00E10AA1">
        <w:t>ts</w:t>
      </w:r>
      <w:r w:rsidRPr="007D7279">
        <w:t xml:space="preserve"> tiennent compte du fait qu’ils sont destinés à subir une combustion de type </w:t>
      </w:r>
      <w:r>
        <w:t>D</w:t>
      </w:r>
      <w:r w:rsidRPr="007D7279">
        <w:t>iesel.</w:t>
      </w:r>
    </w:p>
    <w:p w:rsidR="00656AC8" w:rsidRPr="00F531EB" w:rsidRDefault="00656AC8" w:rsidP="00F80F9A">
      <w:pPr>
        <w:spacing w:line="360" w:lineRule="auto"/>
        <w:jc w:val="both"/>
        <w:rPr>
          <w:b/>
          <w:bCs/>
          <w:sz w:val="28"/>
          <w:szCs w:val="28"/>
        </w:rPr>
      </w:pPr>
      <w:r w:rsidRPr="00F531EB">
        <w:rPr>
          <w:b/>
          <w:bCs/>
          <w:sz w:val="28"/>
          <w:szCs w:val="28"/>
        </w:rPr>
        <w:t>I.2. Propriétés du gasoil et Méthodes d'essai :</w:t>
      </w:r>
    </w:p>
    <w:p w:rsidR="00656AC8" w:rsidRPr="007D7279" w:rsidRDefault="00656AC8" w:rsidP="00F80F9A">
      <w:pPr>
        <w:spacing w:line="360" w:lineRule="auto"/>
        <w:jc w:val="both"/>
      </w:pPr>
      <w:r w:rsidRPr="007D7279">
        <w:t xml:space="preserve">Comme pour tous les combustibles, les propriétés d'un produit définissent la capacité de servir un objectif déclaré. Une fois les propriétés requises sont déterminées, elles sont contrôlées par des essais appropriés et </w:t>
      </w:r>
      <w:r>
        <w:t>d</w:t>
      </w:r>
      <w:r w:rsidRPr="007D7279">
        <w:t xml:space="preserve">es analyses. Les critères de qualité et méthodes d'essai des combustibles pour les moteurs </w:t>
      </w:r>
      <w:r>
        <w:t>D</w:t>
      </w:r>
      <w:r w:rsidRPr="007D7279">
        <w:t xml:space="preserve">iesel, tels que l'indice de cétane, s'appliquent aux carburants. </w:t>
      </w:r>
      <w:r w:rsidRPr="00C96A2F">
        <w:rPr>
          <w:rFonts w:asciiTheme="majorBidi" w:hAnsiTheme="majorBidi" w:cstheme="majorBidi"/>
        </w:rPr>
        <w:t>[1]</w:t>
      </w:r>
    </w:p>
    <w:p w:rsidR="00656AC8" w:rsidRPr="00F531EB" w:rsidRDefault="00656AC8" w:rsidP="00F80F9A">
      <w:pPr>
        <w:spacing w:line="360" w:lineRule="auto"/>
        <w:jc w:val="both"/>
        <w:rPr>
          <w:b/>
          <w:bCs/>
        </w:rPr>
      </w:pPr>
      <w:r w:rsidRPr="00F531EB">
        <w:rPr>
          <w:b/>
          <w:bCs/>
        </w:rPr>
        <w:t>I.2.1. Acidité :</w:t>
      </w:r>
    </w:p>
    <w:p w:rsidR="00656AC8" w:rsidRPr="007D7279" w:rsidRDefault="00656AC8" w:rsidP="00F80F9A">
      <w:pPr>
        <w:spacing w:line="360" w:lineRule="auto"/>
        <w:jc w:val="both"/>
      </w:pPr>
      <w:r w:rsidRPr="007D7279">
        <w:t>Les produits pétroliers contiennent des constituants acides qui sont présentes comme additifs ou produits de dégradation, tels que les produits d'oxydation. La valeur</w:t>
      </w:r>
      <w:r>
        <w:t xml:space="preserve"> relative</w:t>
      </w:r>
      <w:r w:rsidRPr="007D7279">
        <w:t xml:space="preserve"> de ces constituants peut être déterminée en titrant un échantillon de ce produit à la base, et l'indice d'acide est une mesure de la quantité de substances acides dans le produit dans les conditions de l'essai. </w:t>
      </w:r>
    </w:p>
    <w:p w:rsidR="00656AC8" w:rsidRPr="007D7279" w:rsidRDefault="00656AC8" w:rsidP="00F80F9A">
      <w:pPr>
        <w:spacing w:line="360" w:lineRule="auto"/>
        <w:jc w:val="both"/>
      </w:pPr>
      <w:r w:rsidRPr="007D7279">
        <w:t>L'une des méthodes d'essai (ASTM D-664)</w:t>
      </w:r>
      <w:r w:rsidRPr="000F3662">
        <w:t xml:space="preserve"> résolve</w:t>
      </w:r>
      <w:r w:rsidRPr="007D7279">
        <w:t xml:space="preserve"> les constituants dans les groupes contenant des acides faibles et</w:t>
      </w:r>
      <w:r>
        <w:t xml:space="preserve"> des</w:t>
      </w:r>
      <w:r w:rsidRPr="007D7279">
        <w:t xml:space="preserve"> fortes propriétés d'ionisation acide. Dans cette méthode d'essai, l'échantillon est dissous dans un mélange de toluène et d'alcool isopropylique contenant une petite quantité d'eau et</w:t>
      </w:r>
      <w:r>
        <w:t xml:space="preserve"> après la solution est </w:t>
      </w:r>
      <w:r w:rsidRPr="007D7279">
        <w:t xml:space="preserve"> titré</w:t>
      </w:r>
      <w:r>
        <w:t>e</w:t>
      </w:r>
      <w:r w:rsidRPr="007D7279">
        <w:t xml:space="preserve"> par potentiomètre avec de l'hydroxyde de potassium alcoolique à l'aide d'une électrode en verre et en indiquant une référence au calomel. Le relevé des compteurs est tracé manuellement ou automatiquement contre les volumes respectifs de solution titrant, et les points d'extrémité sont pris uniquement aux inflexions bien définies dans la courbe qui en résulte. La méthode d'essai est utilisée pour indiquer les changements relatifs qui se produisent dans le gasoil dans des conditions </w:t>
      </w:r>
      <w:r>
        <w:t xml:space="preserve">de </w:t>
      </w:r>
      <w:r>
        <w:lastRenderedPageBreak/>
        <w:t>l’oxydation</w:t>
      </w:r>
      <w:r w:rsidRPr="007D7279">
        <w:t xml:space="preserve"> indépenda</w:t>
      </w:r>
      <w:r>
        <w:t>nts</w:t>
      </w:r>
      <w:r w:rsidRPr="007D7279">
        <w:t xml:space="preserve"> de la couleur ou d'autres propriétés de l'huile qui en résulte. Il existe trois autres méthodes d'essai pour la détermination du nombre d'acide (ASTM D-974, ASTM D-3339, ASTM D-4739) qui sont utilisés pour mesurer l'acidité inorganiques et totale du carburant et d'indiquer sa tendance à corroder les métaux qu'il est en contact.  </w:t>
      </w:r>
      <w:r w:rsidRPr="00C96A2F">
        <w:rPr>
          <w:rFonts w:asciiTheme="majorBidi" w:hAnsiTheme="majorBidi" w:cstheme="majorBidi"/>
        </w:rPr>
        <w:t>[1</w:t>
      </w:r>
      <w:r>
        <w:rPr>
          <w:rFonts w:asciiTheme="majorBidi" w:hAnsiTheme="majorBidi" w:cstheme="majorBidi"/>
        </w:rPr>
        <w:t>,2,3</w:t>
      </w:r>
      <w:r w:rsidRPr="00C96A2F">
        <w:rPr>
          <w:rFonts w:asciiTheme="majorBidi" w:hAnsiTheme="majorBidi" w:cstheme="majorBidi"/>
        </w:rPr>
        <w:t>]</w:t>
      </w:r>
    </w:p>
    <w:p w:rsidR="00656AC8" w:rsidRPr="00EA5823" w:rsidRDefault="00656AC8" w:rsidP="00F80F9A">
      <w:pPr>
        <w:spacing w:line="360" w:lineRule="auto"/>
        <w:jc w:val="both"/>
        <w:rPr>
          <w:rFonts w:asciiTheme="majorBidi" w:eastAsiaTheme="minorHAnsi" w:hAnsiTheme="majorBidi" w:cstheme="majorBidi"/>
        </w:rPr>
      </w:pPr>
      <w:r w:rsidRPr="00EA5823">
        <w:rPr>
          <w:rFonts w:asciiTheme="majorBidi" w:eastAsiaTheme="minorHAnsi" w:hAnsiTheme="majorBidi" w:cstheme="majorBidi"/>
        </w:rPr>
        <w:t>L’acidité totale du gasoil est en mg KOH/g, 1.50 mas ASTM D 664.</w:t>
      </w:r>
    </w:p>
    <w:p w:rsidR="00656AC8" w:rsidRPr="00F531EB" w:rsidRDefault="00656AC8" w:rsidP="00F80F9A">
      <w:pPr>
        <w:spacing w:line="360" w:lineRule="auto"/>
        <w:jc w:val="both"/>
        <w:rPr>
          <w:b/>
          <w:bCs/>
        </w:rPr>
      </w:pPr>
      <w:r w:rsidRPr="00F531EB">
        <w:rPr>
          <w:b/>
          <w:bCs/>
        </w:rPr>
        <w:t>I.2.2. Apparence et odeur :</w:t>
      </w:r>
    </w:p>
    <w:p w:rsidR="00656AC8" w:rsidRPr="007D7279" w:rsidRDefault="00656AC8" w:rsidP="00F80F9A">
      <w:pPr>
        <w:spacing w:line="360" w:lineRule="auto"/>
        <w:jc w:val="both"/>
      </w:pPr>
      <w:r w:rsidRPr="007D7279">
        <w:t xml:space="preserve">La couleur du  gasoil est un indicateur utile contre la contamination d'eau </w:t>
      </w:r>
      <w:r>
        <w:t>ou</w:t>
      </w:r>
      <w:r w:rsidRPr="007D7279">
        <w:t xml:space="preserve"> de particules</w:t>
      </w:r>
      <w:r>
        <w:t xml:space="preserve"> </w:t>
      </w:r>
      <w:r w:rsidRPr="007D7279">
        <w:t xml:space="preserve">fines solides. Par conséquent, il est nécessaire de faire une inspection visuelle que le carburant clair est mis en œuvre (ASTM D-4176). </w:t>
      </w:r>
      <w:r>
        <w:t>La c</w:t>
      </w:r>
      <w:r w:rsidRPr="007D7279">
        <w:t xml:space="preserve">ouleur devrait également être déterminée parce que la couleur des produits pétroliers est utilisée </w:t>
      </w:r>
      <w:r>
        <w:t>au</w:t>
      </w:r>
      <w:r w:rsidRPr="007D7279">
        <w:t xml:space="preserve"> contrôle </w:t>
      </w:r>
      <w:r>
        <w:t xml:space="preserve">fin </w:t>
      </w:r>
      <w:r w:rsidRPr="007D7279">
        <w:t>de</w:t>
      </w:r>
      <w:r>
        <w:t xml:space="preserve"> la</w:t>
      </w:r>
      <w:r w:rsidRPr="007D7279">
        <w:t xml:space="preserve"> fabrication. </w:t>
      </w:r>
    </w:p>
    <w:p w:rsidR="00656AC8" w:rsidRPr="007D7279" w:rsidRDefault="00656AC8" w:rsidP="00F80F9A">
      <w:pPr>
        <w:spacing w:line="360" w:lineRule="auto"/>
        <w:jc w:val="both"/>
      </w:pPr>
      <w:r w:rsidRPr="007D7279">
        <w:t xml:space="preserve">Dans certains cas, la couleur du gasoil est une indication du degré de </w:t>
      </w:r>
      <w:r>
        <w:t>raffinage</w:t>
      </w:r>
      <w:r w:rsidRPr="007D7279">
        <w:t>. Plusieurs échelles de couleurs sont utilisées pour</w:t>
      </w:r>
      <w:r>
        <w:t xml:space="preserve"> la</w:t>
      </w:r>
      <w:r w:rsidRPr="007D7279">
        <w:t xml:space="preserve"> détermination (ASTMD-156, ASTMD-1209, ASTM D-1500, ASTM D-1544, IP 196).Généralement, les méthodes exigent une détermination visuelle de la couleur avec des disques de verre de couleur. </w:t>
      </w:r>
    </w:p>
    <w:p w:rsidR="00656AC8" w:rsidRPr="007D7279" w:rsidRDefault="00656AC8" w:rsidP="00F80F9A">
      <w:pPr>
        <w:spacing w:line="360" w:lineRule="auto"/>
        <w:jc w:val="both"/>
      </w:pPr>
      <w:r w:rsidRPr="007D7279">
        <w:t xml:space="preserve">De même, l'acceptation le gasoil </w:t>
      </w:r>
      <w:r>
        <w:t>contient</w:t>
      </w:r>
      <w:r w:rsidRPr="007D7279">
        <w:t xml:space="preserve"> de</w:t>
      </w:r>
      <w:r>
        <w:t>s</w:t>
      </w:r>
      <w:r w:rsidRPr="007D7279">
        <w:t xml:space="preserve"> contaminant</w:t>
      </w:r>
      <w:r>
        <w:t>s des odeurs</w:t>
      </w:r>
      <w:r w:rsidRPr="007D7279">
        <w:t>, tels que</w:t>
      </w:r>
      <w:r>
        <w:t xml:space="preserve"> les</w:t>
      </w:r>
      <w:r w:rsidRPr="007D7279">
        <w:t xml:space="preserve"> Mercaptans, qui donnent des odeurs désagréables pour le carburant (ASTM D-4952, IP 30). </w:t>
      </w:r>
      <w:r w:rsidRPr="00C96A2F">
        <w:rPr>
          <w:rFonts w:asciiTheme="majorBidi" w:hAnsiTheme="majorBidi" w:cstheme="majorBidi"/>
        </w:rPr>
        <w:t>[1</w:t>
      </w:r>
      <w:r>
        <w:rPr>
          <w:rFonts w:asciiTheme="majorBidi" w:hAnsiTheme="majorBidi" w:cstheme="majorBidi"/>
        </w:rPr>
        <w:t>,2,4</w:t>
      </w:r>
      <w:r w:rsidRPr="00C96A2F">
        <w:rPr>
          <w:rFonts w:asciiTheme="majorBidi" w:hAnsiTheme="majorBidi" w:cstheme="majorBidi"/>
        </w:rPr>
        <w:t>]</w:t>
      </w:r>
    </w:p>
    <w:p w:rsidR="00656AC8" w:rsidRPr="007D7279" w:rsidRDefault="00656AC8" w:rsidP="00F80F9A">
      <w:pPr>
        <w:spacing w:line="360" w:lineRule="auto"/>
        <w:jc w:val="both"/>
      </w:pPr>
      <w:r w:rsidRPr="007D7279">
        <w:rPr>
          <w:rFonts w:asciiTheme="majorBidi" w:hAnsiTheme="majorBidi" w:cstheme="majorBidi"/>
        </w:rPr>
        <w:t xml:space="preserve">La couleur du gasoil est  jaune </w:t>
      </w:r>
      <w:r>
        <w:rPr>
          <w:rFonts w:asciiTheme="majorBidi" w:hAnsiTheme="majorBidi" w:cstheme="majorBidi"/>
        </w:rPr>
        <w:t>clair</w:t>
      </w:r>
      <w:r w:rsidRPr="007D7279">
        <w:rPr>
          <w:rFonts w:asciiTheme="majorBidi" w:hAnsiTheme="majorBidi" w:cstheme="majorBidi"/>
        </w:rPr>
        <w:t>.</w:t>
      </w:r>
      <w:r>
        <w:rPr>
          <w:rFonts w:asciiTheme="majorBidi" w:hAnsiTheme="majorBidi" w:cstheme="majorBidi"/>
        </w:rPr>
        <w:t xml:space="preserve"> La spécification de la couleur pour le gasoil est de 2,5 max suivant les normes ASTM D1500</w:t>
      </w:r>
    </w:p>
    <w:p w:rsidR="00656AC8" w:rsidRPr="00F531EB" w:rsidRDefault="00656AC8" w:rsidP="00F80F9A">
      <w:pPr>
        <w:spacing w:line="360" w:lineRule="auto"/>
        <w:jc w:val="both"/>
        <w:rPr>
          <w:b/>
          <w:bCs/>
        </w:rPr>
      </w:pPr>
      <w:r w:rsidRPr="00F531EB">
        <w:rPr>
          <w:b/>
          <w:bCs/>
        </w:rPr>
        <w:t>I.2.3. Teneur en cendres (Ash) :</w:t>
      </w:r>
    </w:p>
    <w:p w:rsidR="00656AC8" w:rsidRPr="007D7279" w:rsidRDefault="00656AC8" w:rsidP="00F80F9A">
      <w:pPr>
        <w:pStyle w:val="NormalWeb"/>
        <w:spacing w:line="360" w:lineRule="auto"/>
        <w:jc w:val="both"/>
      </w:pPr>
      <w:r w:rsidRPr="000F13F9">
        <w:t>L</w:t>
      </w:r>
      <w:r>
        <w:t>es</w:t>
      </w:r>
      <w:r w:rsidRPr="000F13F9">
        <w:t xml:space="preserve"> cendre</w:t>
      </w:r>
      <w:r>
        <w:t>s</w:t>
      </w:r>
      <w:r w:rsidRPr="000F13F9">
        <w:t xml:space="preserve"> </w:t>
      </w:r>
      <w:r>
        <w:t>sont</w:t>
      </w:r>
      <w:r w:rsidRPr="000F13F9">
        <w:t xml:space="preserve"> un résidu </w:t>
      </w:r>
      <w:hyperlink r:id="rId7" w:tooltip="Alcalin" w:history="1">
        <w:r w:rsidRPr="00EA5823">
          <w:rPr>
            <w:rStyle w:val="Lienhypertexte"/>
            <w:color w:val="auto"/>
            <w:u w:val="none"/>
          </w:rPr>
          <w:t>alcalin</w:t>
        </w:r>
      </w:hyperlink>
      <w:r w:rsidRPr="00EA5823">
        <w:t xml:space="preserve"> de </w:t>
      </w:r>
      <w:hyperlink r:id="rId8" w:tooltip="Combustion" w:history="1">
        <w:r w:rsidRPr="00EA5823">
          <w:rPr>
            <w:rStyle w:val="Lienhypertexte"/>
            <w:color w:val="auto"/>
            <w:u w:val="none"/>
          </w:rPr>
          <w:t>combustion</w:t>
        </w:r>
      </w:hyperlink>
      <w:r w:rsidRPr="00EA5823">
        <w:t xml:space="preserve"> ou </w:t>
      </w:r>
      <w:hyperlink r:id="rId9" w:tooltip="Incinération" w:history="1">
        <w:r w:rsidRPr="00EA5823">
          <w:rPr>
            <w:rStyle w:val="Lienhypertexte"/>
            <w:color w:val="auto"/>
            <w:u w:val="none"/>
          </w:rPr>
          <w:t>incinération</w:t>
        </w:r>
      </w:hyperlink>
      <w:r w:rsidRPr="00EA5823">
        <w:t xml:space="preserve"> de </w:t>
      </w:r>
      <w:hyperlink r:id="rId10" w:tooltip="Matière organique" w:history="1">
        <w:r w:rsidRPr="00EA5823">
          <w:rPr>
            <w:rStyle w:val="Lienhypertexte"/>
            <w:color w:val="auto"/>
            <w:u w:val="none"/>
          </w:rPr>
          <w:t>matières organiques</w:t>
        </w:r>
      </w:hyperlink>
      <w:r w:rsidRPr="00EA5823">
        <w:t xml:space="preserve">, et par extension de produits tels que le </w:t>
      </w:r>
      <w:hyperlink r:id="rId11" w:tooltip="Houille" w:history="1">
        <w:r w:rsidRPr="00EA5823">
          <w:rPr>
            <w:rStyle w:val="Lienhypertexte"/>
            <w:color w:val="auto"/>
            <w:u w:val="none"/>
          </w:rPr>
          <w:t>charbon</w:t>
        </w:r>
      </w:hyperlink>
      <w:r w:rsidRPr="00EA5823">
        <w:t xml:space="preserve">, le </w:t>
      </w:r>
      <w:hyperlink r:id="rId12" w:tooltip="Lignite" w:history="1">
        <w:r w:rsidRPr="00EA5823">
          <w:rPr>
            <w:rStyle w:val="Lienhypertexte"/>
            <w:color w:val="auto"/>
            <w:u w:val="none"/>
          </w:rPr>
          <w:t>lignite</w:t>
        </w:r>
      </w:hyperlink>
      <w:r w:rsidRPr="00EA5823">
        <w:t xml:space="preserve"> ou divers déchets brûlés dans les incinérateurs, en plein air ou dans les </w:t>
      </w:r>
      <w:hyperlink r:id="rId13" w:tooltip="Cheminée" w:history="1">
        <w:r w:rsidRPr="00EA5823">
          <w:rPr>
            <w:rStyle w:val="Lienhypertexte"/>
            <w:color w:val="auto"/>
            <w:u w:val="none"/>
          </w:rPr>
          <w:t>cheminées</w:t>
        </w:r>
      </w:hyperlink>
      <w:r w:rsidRPr="00EA5823">
        <w:t xml:space="preserve"> </w:t>
      </w:r>
      <w:r w:rsidRPr="000F13F9">
        <w:t>ou fours.</w:t>
      </w:r>
      <w:r>
        <w:t xml:space="preserve"> </w:t>
      </w:r>
      <w:r w:rsidRPr="007D7279">
        <w:t>Dans l'essai pour la détermination quantitative de</w:t>
      </w:r>
      <w:r>
        <w:t>s</w:t>
      </w:r>
      <w:r w:rsidRPr="007D7279">
        <w:t xml:space="preserve"> cendre</w:t>
      </w:r>
      <w:r>
        <w:t>s</w:t>
      </w:r>
      <w:r w:rsidRPr="007D7279">
        <w:t xml:space="preserve"> (ASTM D - 482, IP 4), un petit échantillon d</w:t>
      </w:r>
      <w:r>
        <w:t>u</w:t>
      </w:r>
      <w:r w:rsidRPr="007D7279">
        <w:t xml:space="preserve"> carburant est brûlé dans un récipient jusqu'à ce que toute la matière combustible </w:t>
      </w:r>
      <w:r>
        <w:t>est</w:t>
      </w:r>
      <w:r w:rsidRPr="007D7279">
        <w:t xml:space="preserve"> consommé, </w:t>
      </w:r>
      <w:r>
        <w:t>afin que</w:t>
      </w:r>
      <w:r w:rsidRPr="007D7279">
        <w:t xml:space="preserve"> le résidu </w:t>
      </w:r>
      <w:r>
        <w:t>va atteindre</w:t>
      </w:r>
      <w:r w:rsidRPr="007D7279">
        <w:t xml:space="preserve"> un poids constant. La quantité de résidus non combustibles est la teneur en cendres. </w:t>
      </w:r>
    </w:p>
    <w:p w:rsidR="00656AC8" w:rsidRPr="007D7279" w:rsidRDefault="00656AC8" w:rsidP="00F80F9A">
      <w:pPr>
        <w:spacing w:line="360" w:lineRule="auto"/>
        <w:jc w:val="both"/>
      </w:pPr>
      <w:r w:rsidRPr="007D7279">
        <w:t xml:space="preserve">Les cendres dans le gasoil (ASTM D-2880) sont généralement faibles qu'ils n'ont pas d'effet ni faste sur les performances des </w:t>
      </w:r>
      <w:r>
        <w:t>moteurs Diesel</w:t>
      </w:r>
      <w:r w:rsidRPr="007D7279">
        <w:t xml:space="preserve">, </w:t>
      </w:r>
      <w:r>
        <w:t>de plus,</w:t>
      </w:r>
      <w:r w:rsidRPr="007D7279">
        <w:t xml:space="preserve"> </w:t>
      </w:r>
      <w:r>
        <w:t>les</w:t>
      </w:r>
      <w:r w:rsidRPr="007D7279">
        <w:t xml:space="preserve"> espèces corrosives comme le sodium, le potassium, le plomb, ou </w:t>
      </w:r>
      <w:r>
        <w:t>le</w:t>
      </w:r>
      <w:r w:rsidRPr="007D7279">
        <w:t xml:space="preserve"> vanadium soient présents. Toutefois, il existe des recommandations pour la manipulation de ces carburants (ASTM D-4418) afin de minimiser la contamination potentielle. </w:t>
      </w:r>
    </w:p>
    <w:p w:rsidR="00656AC8" w:rsidRPr="007D7279" w:rsidRDefault="00656AC8" w:rsidP="00F80F9A">
      <w:pPr>
        <w:spacing w:line="360" w:lineRule="auto"/>
        <w:jc w:val="both"/>
      </w:pPr>
      <w:r>
        <w:t>Le v</w:t>
      </w:r>
      <w:r w:rsidRPr="007D7279">
        <w:t>anadium peut se former à bas point de fusion des composés tels que vanad</w:t>
      </w:r>
      <w:r>
        <w:t>ium pentoxide, qui fond à 691 °</w:t>
      </w:r>
      <w:r w:rsidRPr="007D7279">
        <w:t xml:space="preserve">C (1275 ° F) et provoque la corrosion sévère sur tous les alliages à haute </w:t>
      </w:r>
      <w:r w:rsidRPr="007D7279">
        <w:lastRenderedPageBreak/>
        <w:t xml:space="preserve">température utilisé pour </w:t>
      </w:r>
      <w:r>
        <w:t>l</w:t>
      </w:r>
      <w:r w:rsidRPr="007D7279">
        <w:t xml:space="preserve">es soupapes du moteur </w:t>
      </w:r>
      <w:r>
        <w:t>D</w:t>
      </w:r>
      <w:r w:rsidRPr="007D7279">
        <w:t xml:space="preserve">iesel. S'il ya suffisamment de magnésium dans le carburant, il va se combiner avec le vanadium pour former des composés avec des points de fusion plus élevées et donc de réduire le taux de corrosion à un niveau acceptable. Les cendres résultant vont former des dépôts dans </w:t>
      </w:r>
      <w:r>
        <w:t>le moteur</w:t>
      </w:r>
      <w:r w:rsidRPr="007D7279">
        <w:t xml:space="preserve">. L'utilisation d'un additif de silicium de base sera de réduire le taux de corrosion par l'absorption et de dilution des composés de vanadium. </w:t>
      </w:r>
    </w:p>
    <w:p w:rsidR="00656AC8" w:rsidRPr="007D7279" w:rsidRDefault="00656AC8" w:rsidP="00F80F9A">
      <w:pPr>
        <w:spacing w:line="360" w:lineRule="auto"/>
        <w:jc w:val="both"/>
      </w:pPr>
      <w:r w:rsidRPr="007D7279">
        <w:t xml:space="preserve">Le sodium et le potassium peuvent se combiner avec du vanadium pour former des particules, qui fondent à des basses températures que 565 ° C (1050 ° F), et avec du soufre dans le carburant pour donner des sulfates avec des points de fusion dans </w:t>
      </w:r>
      <w:r>
        <w:t>l’échelle</w:t>
      </w:r>
      <w:r w:rsidRPr="007D7279">
        <w:t xml:space="preserve"> de fonctionnement de la turbine à gaz. Ces composés produisent une corrosion sévère pour les turbines fonctionnant à des températures d'entrée de gaz au-dessus 649 ° C (1200 º F). Ainsi, la quantité de sodium </w:t>
      </w:r>
      <w:r>
        <w:t>et du</w:t>
      </w:r>
      <w:r w:rsidRPr="007D7279">
        <w:t xml:space="preserve"> potassium doit être limitée. Pour les turbines à gaz fonctionnant en dessous de 649 ° C (1200 ° F), la corrosion due à des composés de sodium est importan</w:t>
      </w:r>
      <w:r>
        <w:t>te</w:t>
      </w:r>
      <w:r w:rsidRPr="007D7279">
        <w:t xml:space="preserve"> et </w:t>
      </w:r>
      <w:r>
        <w:t xml:space="preserve">elle </w:t>
      </w:r>
      <w:r w:rsidRPr="007D7279">
        <w:t xml:space="preserve">peut </w:t>
      </w:r>
      <w:r>
        <w:t>réduire</w:t>
      </w:r>
      <w:r w:rsidRPr="007D7279">
        <w:t xml:space="preserve"> par le silicium-additive de base. </w:t>
      </w:r>
    </w:p>
    <w:p w:rsidR="00656AC8" w:rsidRPr="007D7279" w:rsidRDefault="00656AC8" w:rsidP="00F80F9A">
      <w:pPr>
        <w:spacing w:line="360" w:lineRule="auto"/>
        <w:jc w:val="both"/>
      </w:pPr>
      <w:r w:rsidRPr="007D7279">
        <w:t xml:space="preserve">Le calcium n'est pas aussi </w:t>
      </w:r>
      <w:r>
        <w:t>nocif</w:t>
      </w:r>
      <w:r w:rsidRPr="007D7279">
        <w:t xml:space="preserve"> et </w:t>
      </w:r>
      <w:r>
        <w:t>peut</w:t>
      </w:r>
      <w:r w:rsidRPr="007D7279">
        <w:t xml:space="preserve"> servir à inhiber l'action corrosive du vanadium. Toutefois, la présence de calcium peut provoquer des dépôts. Le plomb peut provoquer la corrosion, et, en outre, il peut </w:t>
      </w:r>
      <w:r>
        <w:t>diminuer</w:t>
      </w:r>
      <w:r w:rsidRPr="007D7279">
        <w:t xml:space="preserve"> l'effet inhibiteur du magnésium </w:t>
      </w:r>
      <w:r>
        <w:t>utile</w:t>
      </w:r>
      <w:r w:rsidRPr="007D7279">
        <w:t xml:space="preserve"> </w:t>
      </w:r>
      <w:r>
        <w:t>par</w:t>
      </w:r>
      <w:r w:rsidRPr="007D7279">
        <w:t xml:space="preserve"> l'addition sur la corrosion du vanadium. Parce que le plomb ne se trouve que rarement dans des quantités signifiant dans le pétrole brut, sa présence dans le mazout est principalement le résultat d'une contamination pendant la transformation ou le transport. </w:t>
      </w:r>
      <w:r w:rsidRPr="00C96A2F">
        <w:rPr>
          <w:rFonts w:asciiTheme="majorBidi" w:hAnsiTheme="majorBidi" w:cstheme="majorBidi"/>
        </w:rPr>
        <w:t>[1</w:t>
      </w:r>
      <w:r>
        <w:rPr>
          <w:rFonts w:asciiTheme="majorBidi" w:hAnsiTheme="majorBidi" w:cstheme="majorBidi"/>
        </w:rPr>
        <w:t>,5,6</w:t>
      </w:r>
      <w:r w:rsidRPr="00C96A2F">
        <w:rPr>
          <w:rFonts w:asciiTheme="majorBidi" w:hAnsiTheme="majorBidi" w:cstheme="majorBidi"/>
        </w:rPr>
        <w:t>]</w:t>
      </w:r>
    </w:p>
    <w:p w:rsidR="00656AC8" w:rsidRPr="007D7279" w:rsidRDefault="00656AC8" w:rsidP="00F80F9A">
      <w:pPr>
        <w:spacing w:line="360" w:lineRule="auto"/>
        <w:jc w:val="both"/>
      </w:pPr>
      <w:r w:rsidRPr="007D7279">
        <w:rPr>
          <w:rFonts w:asciiTheme="majorBidi" w:eastAsiaTheme="minorHAnsi" w:hAnsiTheme="majorBidi" w:cstheme="majorBidi"/>
        </w:rPr>
        <w:t>Le teneur en cendres est de  0,01% poids  max suivant les normes ISO 6245 et ASTM D 482.</w:t>
      </w:r>
    </w:p>
    <w:p w:rsidR="00656AC8" w:rsidRPr="00F531EB" w:rsidRDefault="00656AC8" w:rsidP="00F80F9A">
      <w:pPr>
        <w:spacing w:line="360" w:lineRule="auto"/>
        <w:jc w:val="both"/>
        <w:rPr>
          <w:b/>
          <w:bCs/>
        </w:rPr>
      </w:pPr>
      <w:r w:rsidRPr="00F531EB">
        <w:rPr>
          <w:b/>
          <w:bCs/>
        </w:rPr>
        <w:t>I.2.4. Pouvoir calorifique (chaleur de combustion) :</w:t>
      </w:r>
    </w:p>
    <w:p w:rsidR="00656AC8" w:rsidRPr="007D7279" w:rsidRDefault="00656AC8" w:rsidP="00F80F9A">
      <w:pPr>
        <w:spacing w:line="360" w:lineRule="auto"/>
        <w:jc w:val="both"/>
      </w:pPr>
      <w:r w:rsidRPr="007D7279">
        <w:t xml:space="preserve">La chaleur de combustion (ASTM D-240, ASTM D-1405, ASTM D-2382, ASTM D-2890, ASTM D-3338, ASTM D-4529, ASTM D-4809, ASTM D – 4868, ASTM D-6446, IP 12) est une mesure directe de la teneur énergétique du combustible et </w:t>
      </w:r>
      <w:r>
        <w:t xml:space="preserve">elle </w:t>
      </w:r>
      <w:r w:rsidRPr="007D7279">
        <w:t xml:space="preserve">est déterminée comme étant la quantité de chaleur libérée par la combustion d'une unité de quantité de carburant avec de l'oxygène dans une bombe calorimétrique standard. Il y a deux chaleurs de combustion, ou des valeurs calorifiques, pour tous les carburants pétroliers, </w:t>
      </w:r>
      <w:r>
        <w:t>pouvoir calorifique supérieur et pouvoir calorifique inférieur.</w:t>
      </w:r>
    </w:p>
    <w:p w:rsidR="00656AC8" w:rsidRPr="007D7279" w:rsidRDefault="00656AC8" w:rsidP="00F80F9A">
      <w:pPr>
        <w:spacing w:line="360" w:lineRule="auto"/>
        <w:jc w:val="both"/>
      </w:pPr>
      <w:r w:rsidRPr="007D7279">
        <w:t xml:space="preserve">Quand </w:t>
      </w:r>
      <w:r>
        <w:t>la</w:t>
      </w:r>
      <w:r w:rsidRPr="007D7279">
        <w:t xml:space="preserve"> détermination expérimentale de la chaleur de la combustion n'est pas disponible et </w:t>
      </w:r>
      <w:r>
        <w:t xml:space="preserve">elle </w:t>
      </w:r>
      <w:r w:rsidRPr="007D7279">
        <w:t>ne peut être effectué</w:t>
      </w:r>
      <w:r>
        <w:t>e</w:t>
      </w:r>
      <w:r w:rsidRPr="007D7279">
        <w:t xml:space="preserve"> idéalement, une estimation pourrait être considéré</w:t>
      </w:r>
      <w:r>
        <w:t>e</w:t>
      </w:r>
      <w:r w:rsidRPr="007D7279">
        <w:t xml:space="preserve"> satisfaisante (ASTM D-6446). Dans cette méthode d'essai de la chaleur nette de combustion est calculée à partir de la densité et la teneur en soufre et d'hydrogène, mais ce calcul ne se justifie que lorsque le carburant appartient à une catégorie bien définie pour lesquels une relation entre ces quantités ont été tirées de préci</w:t>
      </w:r>
      <w:r>
        <w:t>ses</w:t>
      </w:r>
      <w:r w:rsidRPr="007D7279">
        <w:t xml:space="preserve"> mesures expérimentales sur des échantillons </w:t>
      </w:r>
      <w:r w:rsidRPr="007D7279">
        <w:lastRenderedPageBreak/>
        <w:t>représentatifs. Ainsi, la teneur en hydrogène (ASTM D-1018, ASTM D-1217, ASTM D-1298, ASTM D-3701, ASTM D-4052, ASTM D-4808, ASTM D-5291 IP 160, IP 365), la densité (ASTM D-129, ASTM D-1250, ASTM D-1266, ASTM D-2622, ASTM D-3120, IP 61, IP 107), et du soufre (ASTM D-2622, ASTM D-3120 , ASTM D-3246, ASTM D-4294, ASTM D-5453, ASTM D-5623, IP 336, IP 373) de l'échantillon sont déterminées par des méthodes d'essais, et la production nette de chaleur de combustion est calculé</w:t>
      </w:r>
      <w:r>
        <w:t>e</w:t>
      </w:r>
      <w:r w:rsidRPr="007D7279">
        <w:t xml:space="preserve"> avec les valeurs obtenues, par ces méthodes de test basées sur des corrélations signalé</w:t>
      </w:r>
      <w:r>
        <w:t>e</w:t>
      </w:r>
      <w:r w:rsidRPr="007D7279">
        <w:t xml:space="preserve">s. </w:t>
      </w:r>
    </w:p>
    <w:p w:rsidR="00656AC8" w:rsidRPr="007D7279" w:rsidRDefault="00656AC8" w:rsidP="00F80F9A">
      <w:pPr>
        <w:spacing w:line="360" w:lineRule="auto"/>
        <w:jc w:val="both"/>
      </w:pPr>
      <w:r w:rsidRPr="007D7279">
        <w:t xml:space="preserve">Un autre critère de la teneur énergétique est la gravité aniline du produit (AGP), qui est liée à la valeur calorifique (ASTM D-1405, IP 193). La gravité aniline du produit est le produit de la gravité API (ASTM D-287, ASTM D-1298) et le point d'aniline du gasoil (ASTM D-611, IP 2). Le point d'aniline est la plus basse température à laquelle le carburant est miscible avec un volume égal d'aniline et est inversement proportionnelle à la teneur en composés aromatiques. La relation entre le produit de la gravité d'aniline et le pouvoir calorifique est donnée dans la méthode. Dans une autre méthode (ASTM D-3338), la chaleur de combustion est calculée à partir de la densité du carburant, les 10%, 50% et 90% des températures de distillation, et la teneur en aromatiques. </w:t>
      </w:r>
      <w:r>
        <w:t>Cette</w:t>
      </w:r>
      <w:r w:rsidRPr="007D7279">
        <w:t xml:space="preserve"> méthode est légalement acceptable, et </w:t>
      </w:r>
      <w:r>
        <w:t>d’</w:t>
      </w:r>
      <w:r w:rsidRPr="007D7279">
        <w:t>autres (ASTM D-240, ASTM D - 1655, ASTM D-4809) sont préféré</w:t>
      </w:r>
      <w:r>
        <w:t>e</w:t>
      </w:r>
      <w:r w:rsidRPr="007D7279">
        <w:t xml:space="preserve">s. </w:t>
      </w:r>
      <w:r w:rsidRPr="00C96A2F">
        <w:rPr>
          <w:rFonts w:asciiTheme="majorBidi" w:hAnsiTheme="majorBidi" w:cstheme="majorBidi"/>
        </w:rPr>
        <w:t>[1</w:t>
      </w:r>
      <w:r>
        <w:rPr>
          <w:rFonts w:asciiTheme="majorBidi" w:hAnsiTheme="majorBidi" w:cstheme="majorBidi"/>
        </w:rPr>
        <w:t>,7</w:t>
      </w:r>
      <w:r w:rsidRPr="00C96A2F">
        <w:rPr>
          <w:rFonts w:asciiTheme="majorBidi" w:hAnsiTheme="majorBidi" w:cstheme="majorBidi"/>
        </w:rPr>
        <w:t>]</w:t>
      </w:r>
    </w:p>
    <w:p w:rsidR="00656AC8" w:rsidRPr="007D7279" w:rsidRDefault="00656AC8" w:rsidP="00F80F9A">
      <w:pPr>
        <w:autoSpaceDE w:val="0"/>
        <w:autoSpaceDN w:val="0"/>
        <w:adjustRightInd w:val="0"/>
        <w:jc w:val="both"/>
        <w:rPr>
          <w:rFonts w:asciiTheme="majorBidi" w:eastAsiaTheme="minorHAnsi" w:hAnsiTheme="majorBidi" w:cstheme="majorBidi"/>
        </w:rPr>
      </w:pPr>
      <w:r w:rsidRPr="007D7279">
        <w:rPr>
          <w:rFonts w:asciiTheme="majorBidi" w:eastAsiaTheme="minorHAnsi" w:hAnsiTheme="majorBidi" w:cstheme="majorBidi"/>
        </w:rPr>
        <w:t>Le pouvoir calorifique du gasoil est de 43 000 kJ/kg.</w:t>
      </w:r>
    </w:p>
    <w:p w:rsidR="00656AC8" w:rsidRPr="007D7279" w:rsidRDefault="00656AC8" w:rsidP="00F80F9A">
      <w:pPr>
        <w:autoSpaceDE w:val="0"/>
        <w:autoSpaceDN w:val="0"/>
        <w:adjustRightInd w:val="0"/>
        <w:jc w:val="both"/>
        <w:rPr>
          <w:rFonts w:asciiTheme="majorBidi" w:eastAsiaTheme="minorHAnsi" w:hAnsiTheme="majorBidi" w:cstheme="majorBidi"/>
        </w:rPr>
      </w:pPr>
    </w:p>
    <w:p w:rsidR="00656AC8" w:rsidRPr="00F531EB" w:rsidRDefault="00656AC8" w:rsidP="00F80F9A">
      <w:pPr>
        <w:spacing w:line="360" w:lineRule="auto"/>
        <w:jc w:val="both"/>
        <w:rPr>
          <w:b/>
          <w:bCs/>
        </w:rPr>
      </w:pPr>
      <w:r w:rsidRPr="00F531EB">
        <w:rPr>
          <w:b/>
          <w:bCs/>
        </w:rPr>
        <w:t>I.2.5. Résidu de carbone (carbone Conradson) :</w:t>
      </w:r>
    </w:p>
    <w:p w:rsidR="00656AC8" w:rsidRPr="007D7279" w:rsidRDefault="00656AC8" w:rsidP="00F80F9A">
      <w:pPr>
        <w:spacing w:line="360" w:lineRule="auto"/>
        <w:jc w:val="both"/>
      </w:pPr>
      <w:r w:rsidRPr="007D7279">
        <w:t xml:space="preserve">Les résidus de carbone d'un produit pétrolier constituent une indication de la propension de l'échantillon à former des dépôts carbonés (coke thermique) sous l'influence de la chaleur. Dans le contexte actuel, les résultats des tests de résidus de carbone sont largement cités dans les spécifications du gasoil. Toutefois, les distillats de gasoil qui sont satisfaisant à d'autres égards ne sont pas les hautes valeurs des résidus de carbone Conradson, et le test est principalement utilisé sur les combustibles résiduels. </w:t>
      </w:r>
    </w:p>
    <w:p w:rsidR="00656AC8" w:rsidRPr="007D7279" w:rsidRDefault="00656AC8" w:rsidP="00F80F9A">
      <w:pPr>
        <w:spacing w:line="360" w:lineRule="auto"/>
        <w:jc w:val="both"/>
      </w:pPr>
      <w:r w:rsidRPr="007D7279">
        <w:t xml:space="preserve">Essais de résidu de carbone Conradson (ASTM D-189, IP 13), le résidu de carbone Ramsbottom (ASTM D-524, IP 14), et le résidu de carbone micro carbone (ASTM D-4530, IP 398) sont souvent inclus dans les données de la spécification pour le </w:t>
      </w:r>
      <w:r>
        <w:t>D</w:t>
      </w:r>
      <w:r w:rsidRPr="007D7279">
        <w:t xml:space="preserve">iesel. Les données donnent une indication de la quantité de coke qui sera formé au cours des processus thermiques ainsi que l'indication de la quantité de constituants d'ébullition élevée du pétrole. </w:t>
      </w:r>
      <w:r w:rsidRPr="00C96A2F">
        <w:rPr>
          <w:rFonts w:asciiTheme="majorBidi" w:hAnsiTheme="majorBidi" w:cstheme="majorBidi"/>
        </w:rPr>
        <w:t>[1</w:t>
      </w:r>
      <w:r>
        <w:rPr>
          <w:rFonts w:asciiTheme="majorBidi" w:hAnsiTheme="majorBidi" w:cstheme="majorBidi"/>
        </w:rPr>
        <w:t>,7,8</w:t>
      </w:r>
      <w:r w:rsidRPr="00C96A2F">
        <w:rPr>
          <w:rFonts w:asciiTheme="majorBidi" w:hAnsiTheme="majorBidi" w:cstheme="majorBidi"/>
        </w:rPr>
        <w:t>]</w:t>
      </w:r>
    </w:p>
    <w:p w:rsidR="00656AC8" w:rsidRDefault="00656AC8" w:rsidP="00F80F9A">
      <w:pPr>
        <w:spacing w:line="360" w:lineRule="auto"/>
        <w:jc w:val="both"/>
        <w:rPr>
          <w:rFonts w:asciiTheme="majorBidi" w:eastAsiaTheme="minorHAnsi" w:hAnsiTheme="majorBidi" w:cstheme="majorBidi"/>
        </w:rPr>
      </w:pPr>
      <w:r w:rsidRPr="007D7279">
        <w:rPr>
          <w:rFonts w:asciiTheme="majorBidi" w:hAnsiTheme="majorBidi" w:cstheme="majorBidi"/>
        </w:rPr>
        <w:t xml:space="preserve">Le carbone Conradson sur résidu 10% est de 0,15 à 0,2 %pds suivant </w:t>
      </w:r>
      <w:r w:rsidRPr="007D7279">
        <w:rPr>
          <w:rFonts w:asciiTheme="majorBidi" w:eastAsiaTheme="minorHAnsi" w:hAnsiTheme="majorBidi" w:cstheme="majorBidi"/>
        </w:rPr>
        <w:t>ASTM</w:t>
      </w:r>
      <w:r w:rsidRPr="007D7279">
        <w:rPr>
          <w:rFonts w:asciiTheme="majorBidi" w:hAnsiTheme="majorBidi" w:cstheme="majorBidi"/>
        </w:rPr>
        <w:t xml:space="preserve"> D 189 </w:t>
      </w:r>
      <w:r w:rsidRPr="007D7279">
        <w:rPr>
          <w:rFonts w:asciiTheme="majorBidi" w:eastAsiaTheme="minorHAnsi" w:hAnsiTheme="majorBidi" w:cstheme="majorBidi"/>
        </w:rPr>
        <w:t>et pour Carbone Ramsbottom sur même résidu est de 0,02 %pds maximum suivant ASTM D 524.</w:t>
      </w:r>
    </w:p>
    <w:p w:rsidR="00224F3A" w:rsidRDefault="00224F3A" w:rsidP="00F80F9A">
      <w:pPr>
        <w:spacing w:line="360" w:lineRule="auto"/>
        <w:jc w:val="both"/>
        <w:rPr>
          <w:rFonts w:asciiTheme="majorBidi" w:eastAsiaTheme="minorHAnsi" w:hAnsiTheme="majorBidi" w:cstheme="majorBidi"/>
        </w:rPr>
      </w:pPr>
    </w:p>
    <w:p w:rsidR="00224F3A" w:rsidRPr="007D7279" w:rsidRDefault="00224F3A" w:rsidP="00F80F9A">
      <w:pPr>
        <w:spacing w:line="360" w:lineRule="auto"/>
        <w:jc w:val="both"/>
        <w:rPr>
          <w:rFonts w:asciiTheme="majorBidi" w:hAnsiTheme="majorBidi" w:cstheme="majorBidi"/>
        </w:rPr>
      </w:pPr>
    </w:p>
    <w:p w:rsidR="00656AC8" w:rsidRPr="00F531EB" w:rsidRDefault="00656AC8" w:rsidP="00F80F9A">
      <w:pPr>
        <w:spacing w:line="360" w:lineRule="auto"/>
        <w:jc w:val="both"/>
        <w:rPr>
          <w:b/>
          <w:bCs/>
        </w:rPr>
      </w:pPr>
      <w:r w:rsidRPr="00F531EB">
        <w:rPr>
          <w:b/>
          <w:bCs/>
        </w:rPr>
        <w:lastRenderedPageBreak/>
        <w:t>I.2.6. Indice de cétane ( cetane index):</w:t>
      </w:r>
    </w:p>
    <w:p w:rsidR="00656AC8" w:rsidRDefault="00656AC8" w:rsidP="00F80F9A">
      <w:pPr>
        <w:spacing w:line="360" w:lineRule="auto"/>
        <w:jc w:val="both"/>
      </w:pPr>
      <w:r w:rsidRPr="007D7279">
        <w:t xml:space="preserve">L'indice de cétane est une propriété importante de gasoil. Dans la majorité des moteurs </w:t>
      </w:r>
      <w:r>
        <w:t>D</w:t>
      </w:r>
      <w:r w:rsidRPr="007D7279">
        <w:t xml:space="preserve">iesel, le délai d'allumage est plus court que la durée de l'injection. </w:t>
      </w:r>
    </w:p>
    <w:p w:rsidR="00656AC8" w:rsidRPr="007D7279" w:rsidRDefault="00656AC8" w:rsidP="00F80F9A">
      <w:pPr>
        <w:spacing w:line="360" w:lineRule="auto"/>
        <w:jc w:val="both"/>
      </w:pPr>
      <w:r w:rsidRPr="007D7279">
        <w:t xml:space="preserve">L'indice de cétane de gasoil est le résultat numérique d'un essai de moteurs </w:t>
      </w:r>
      <w:r>
        <w:t xml:space="preserve">CFR </w:t>
      </w:r>
      <w:r w:rsidRPr="007D7279">
        <w:t xml:space="preserve">conçus pour évaluer le délai d'allumage du carburant. Pour établir l'échelle de l'indice de cétane, deux carburants de référence étaient sélectionnés. Un, cétane normal, a d'excellentes qualités d'inflammation et, par conséquent, un délai d'allumage très court. Un certain nombre de cétane de </w:t>
      </w:r>
      <w:smartTag w:uri="urn:schemas-microsoft-com:office:smarttags" w:element="metricconverter">
        <w:smartTagPr>
          <w:attr w:name="ProductID" w:val="ŃƤƨƦ吨ƠըƈƢ覰纐臐萈藰靰顰0ǟZͰⷨҝ一ҝҞ벀ҢṰҤἈҤῈҤ⁠Ҥ℠Ҥ↸Ҥ≐Ҥ⌐Ҥ⎨Ҥ⑀Ҥ⓰Ҥ▰Ҥ♠Ҥ✐Ҥ⟐Ҥ⢀Ҥ⤰Ҥ⧰Ҥ⪠Ҥ⭐ҤⰀҤⲰҤⵠҤ⸐Ҥ⻀Ҥ⽰Ҥ〠ҤバҤㆀҤ㉀Ҥ㌀Ҥ㎰Ҥ㑰Ҥ㔠Ҥ㗐Ҥ㚐Ҥ㝀Ҥ㟰Ҥ㢰Ҥ㥠Ҥ㨐Ҥ㫐Ҥ㮀Ҥ㱀Ҥ㴀Ҥ㷀Ҥ㹰Ҥ㼠Ҥ㿐Ҥ䂀Ҥ䅀Ҥ䇰Ҥ毈Ҥ池Ҥ洠Ҥ淐Ҥ源Ҥ潐Ҥ瀀Ҥ炰Ҥ煠Ҥ爠Ҥ狐Ҥ玀Ҥ琰Ҥ瓠Ҥ疐Ҥ癀Ҥ眀Ҥ矀Ҥ硰Ҥ礰Ҥ秠Ҥ窠Ҥ筐Ҥ簀Ҥ糀Ҥ絰Ҥ縈Ҥ纸Ҥ罨Ҥ耨Ҥ胨Ҥ膘Ҥ 0ǯ&#10;tﾰCŵࠌܠ䠭鞈᳗읨᳖嶘ɍ빰ྜྷŰࠌ޸䠭ဈ䠅⾸׳砠ɍɍ⠨׳⠨׳젰ྜྷũࠈ'reŦࠈ'ilisationྜྷšࠈ.rburantsŜࠈ'lair ďބн蠸ͬ頸͢9ĄlͰⷨҝ一ҝҞ벀ҢṰҤἈҤῈҤ⁠Ҥ℠Ҥ↸Ҥ≐Ҥ⌐Ҥ⎨Ҥ⑀Ҥ⓰Ҥ▰Ҥ♠Ҥ✐Ҥ⟐Ҥ⢀Ҥ⤰Ҥ⧰Ҥ⪠Ҥ⭐ҤⰀҤⲰҤⵠҤ⸐Ҥ⻀Ҥ⽰Ҥ〠ҤバҤㆀҤ㉀Ҥ㌀Ҥ㎰Ҥ㑰Ҥ㔠Ҥ㗐Ҥ㚐Ҥ㝀Ҥ㟰Ҥ㢰Ҥ㥠Ҥ㨐Ҥ㫐Ҥ㮀Ҥ㱀Ҥ㴀Ҥ㷀Ҥ㹰Ҥ㼠Ҥ㿐Ҥ䂀Ҥ䅀Ҥ䇰Ҥ毈Ҥ池Ҥ洠Ҥ淐Ҥ源Ҥ潐Ҥ瀀Ҥ炰Ҥ煠Ҥ爠Ҥ狐Ҥ玀Ҥ琰Ҥ瓠Ҥ疐Ҥ癀Ҥ眀Ҥ矀Ҥ硰Ҥ礰Ҥ秠Ҥ窠Ҥ筐Ҥ簀Ҥ糀Ҥ絰Ҥ縈Ҥ纸Ҥ罨Ҥ耨Ҥ胨Ҥ膘Ҥ艈Ҥ茈Ҥ菈Ҥ葸Ҥ蔨Ҥ藨Ҥ蚘Ҥ蝘Ҥ蠈Ҥ裈Ҥ覈Ҥ訸Ҥ諸Ҥ许Ҥ豨Ҥ贘Ҥ跈Ҥ躈Ҥ&#10;9ō叐倨ǿ绸缐궽뫛궽뫛궽뫛궽뫛궽뫛值&#10;łInvalidŽInvalidŸ\\?\STORAGE#RemovableMedia#7&amp;894479d&amp;0&amp;RM#{53f5630d-b6bf-11d0-94f2-00a0c91efb8b}Ŧ&#10;C:\Documents and Settings\pc\Menu Démarrer3ƚ∥ఐH∴ఐɘ秴ɀ籌ɀ籸ɀ粤ɀᅀ00H∴໰̀ƨ¨ᅀɌ0∴နƘ緸ɀ羐ɀ群ɀ羸ɀÀᅀ͸L0&#10;3ƥ/缨舸送憘芨ÿ꒍　 艌&#10;ǚ\\?\Volume{55d0af38-17f6-11df-964f-001d7dc872ae}\ǈFAT32&#10;ǋ@Epson Stylus COLOR 440 ESC/P 2뻯&#10;ǽ\\?\STORAGE#Volume#1&amp;30a96598&amp;0&amp;SignatureD703D703Offset1387B92A00Length8C9D2DC00#{53f5630d-b6bf-11d0-94f2-00a0c91efb8b}&#10;Ĝ茐葰ခ懐蓠ÿÿ⻮뒉　蒄&#10;đ\\?\Volume{9c43ca8b-8f2f-11dd-94f0-806d6172696f}\ćNTFSĂ\\?\STORAGE#Volume#1&amp;30a96598&amp;0&amp;SignatureD703D703Offset1C518C8400Length8F10B7C00#{53f5630d-b6bf-11d0-94f2-00a0c91efb8b}&#10;ġ蓸虘ခ㶸蛈ÿÿ慲邓　虬&#10;Ŗ\\?\Volume{9c43ca8c-8f2f-11dd-94f0-806d6172696f}\ńNTFSZŇ®Ͱⷨҝ一ҝҞ벀ҢṰҤἈҤῈҤ⁠Ҥ℠Ҥ↸Ҥ≐Ҥ⌐Ҥ⎨Ҥ⑀Ҥ⓰Ҥ▰Ҥ♠Ҥ✐Ҥ⟐Ҥ⢀Ҥ⤰Ҥ⧰Ҥ⪠Ҥ⭐ҤⰀҤⲰҤⵠҤ⸐Ҥ⻀Ҥ⽰Ҥ〠ҤバҤㆀҤ㉀Ҥ㌀Ҥ㎰Ҥ㑰Ҥ㔠Ҥ㗐Ҥ㚐Ҥ㝀Ҥ㟰Ҥ㢰Ҥ㥠Ҥ㨐Ҥ㫐Ҥ㮀Ҥ㱀Ҥ㴀Ҥ㷀Ҥ㹰Ҥ㼠Ҥ㿐Ҥ䂀Ҥ䅀Ҥ䇰Ҥ毈Ҥ池Ҥ洠Ҥ淐Ҥ源Ҥ潐Ҥ瀀Ҥ炰Ҥ煠Ҥ爠Ҥ狐Ҥ玀Ҥ琰Ҥ瓠Ҥ疐Ҥ癀Ҥ眀Ҥ矀Ҥ硰Ҥ礰Ҥ秠Ҥ窠Ҥ筐Ҥ簀Ҥ糀Ҥ絰Ҥ縈Ҥ纸Ҥ罨Ҥ耨Ҥ胨Ҥ膘Ҥ艈Ҥ茈Ҥ菈Ҥ葸Ҥ蔨Ҥ藨Ҥ蚘Ҥ蝘Ҥ蠈Ҥ裈Ҥ覈Ҥ訸Ҥ諸Ҥ许Ҥ豨Ҥ贘Ҥ跈Ҥ躈Ҥ輸Ҥ迸Ҥ邨Ҥ酘Ҥ鈈Ҥ銸Ҥ鍨Ҥ鐘Ҥ铈Ҥ镸Ҥ阨Ҥ雘Ҥ鞈Ҥ頸Ҥ飨Ҥ馘Ҥ驈Ҥ髸Ҥ鮨Ҥ鱘Ҥ鴈Ҥ鷈Ҥ鹸Ҥ鼨Ҥ鿘ҤꂈҤꄸҤꇨҤꊘҤꍘҤꐈҤ꒸ҤꕸҤ꘨ҤꛘҤꞈҤꡈҤ꤈ҤꦸҤ꩸ҤꬨҤꯨҤ겘Ҥ굘Ҥ긘Ҥ껈Ҥ꽸Ҥ뀨Ҥ냘Ҥ놘Ҥ뉘Ҥ댈Ҥ돈Ҥ둸Ҥ딨Ҥ뗘Ҥ뚘Ҥ띈Ҥ럸Ҥ뢸Ҥ른Ҥ먨Ҥ뫘Ҥ뮘Ҥ뱈Ҥ본Ҥ&#10;ZƩ樘轸ခ記訰궽뫛궽뫛궽뫛궽뫛궽뫛辌&#10;ǞInvalidǙInvalidǔ\\?\STORAGE#Volume#1&amp;30a96598&amp;0&amp;SignatureD703D703Offset7E00Length9C3DBD800#{53f5630d-b6bf-11d0-94f2-00a0c91efb8b}eǺ&#10;\\?\STORAGE#Volume#1&amp;30a96598&amp;0&amp;SignatureD703D703Offset9C3DCD400Length9C3DBD800#{53f5630d-b6bf-11d0-94f2-00a0c91efb8b}Lę䑈粝ﵠ粝韬耀C:\靰LLō䑈粝ﵠ粝虬耀F:\藰LLƁ䑈粝ﵠ粝蒄耀E:\萈LLǵ䑈粝ﵠ粝艌耀H:\臐Lĩ⸔眹ߔ+ddϧϧΖͳ΅΄œ籰知췯覫&#10;嚈ྠ䊨霠䊨靈&#10;ű詈韘ခ顈願ÿ锏⠜　韬&#10;Ŧ\\?\Volume{1213f4a1-1c60-11dd-8df3-806d6172696f}\ƔŸƖFAT32&#10;Ƒ謸飘ခ饈饘ÿÿ훚챽　飬&#10;Ɔ\\?\Volume{9c43ca8a-8f2f-11dd-94f0-806d6172696f}\ƴŸƶNTFSLƱ䑈粝ﵠ粝值耀G:\纐LLǥ䑈粝ﵠ粝辌耀A:\覰KLřȠ(\bden\s+)?\b((0?[1-9])|([12][0-9])|30)(\.|\s+de|\s+/|-)?\s*(bir|Červen\b|června|cze|giu|Haz|jun|juin|jún|jūn|juun|kesä|Lipa|VI\b|Ιούν|Ιουν|июн|Июн|јун|чер|Чер|юни|Юни)[^\.\s\-\d]*\.?(\s+de|\s+/|\s*-)?\s*((19[789][0-9])|(20[0-4][0-9])|([0-9][0-9]))(\s*(года|г\.|р\.|a\.))?ода|г\.|р\.|a\.))?$Kƌ細BͰⷨҝ一ҝҞ벀ҢṰҤἈҤῈҤ⁠Ҥ℠Ҥ↸Ҥ≐Ҥ⌐Ҥ⎨Ҥ⑀Ҥ⓰Ҥ▰Ҥ♠Ҥ✐Ҥ⟐Ҥ⢀Ҥ⤰Ҥ⧰Ҥ⪠Ҥ⭐ҤⰀҤⲰҤⵠҤ⸐Ҥ⻀Ҥ⽰Ҥ〠ҤバҤㆀҤ㉀Ҥ㌀Ҥ㎰Ҥ㑰Ҥ㔠Ҥ㗐Ҥ㚐Ҥ㝀Ҥ㟰Ҥ㢰Ҥ㥠Ҥ㨐Ҥ㫐Ҥ㮀Ҥ㱀Ҥ㴀Ҥ㷀Ҥ㹰Ҥ㼠Ҥ㿐Ҥ䂀Ҥ䅀Ҥ䇰Ҥ毈Ҥ池Ҥ洠Ҥ淐Ҥ源Ҥ潐Ҥ瀀Ҥ炰Ҥ$ƨ&quot;Ͱⷨҝ一ҝҞ벀ҢṰҤἈҤῈҤ⁠Ҥ℠Ҥ↸Ҥ≐Ҥ⌐Ҥ⎨Ҥ⑀Ҥ⓰Ҥ▰Ҥ♠Ҥ✐Ҥ⟐Ҥ⢀Ҥ⤰Ҥ⧰Ҥ⪠Ҥ⭐ҤⰀҤⲰҤⵠҤ⸐Ҥ⻀Ҥ⽰Ҥ〠ҤバҤǔ᰼睊ᰘ睊∀蘨ꉈ쐀㰃睋ﾰ粑۰粒籨Ǵꊸꊸᰀ睊ꉈᯬ睊ꉈ̀Ѐᯜ睊ᯌ睊㾬睊㾜睊䀀ꋬ蘈ࠄǹ&#10;-+ncalrpc:[OLE155AB11D824A4D169DA6EC3EAA91]甀洀攀渀琀猀 愀渀搀 匀攀琀琀椀渀最猀᠀Ǥhttp://r.office.microsoft.com/r/rlidSmartTagProperties?clid=fr-FRėC0pc-1479d39b99dc169.254.25.10241.201.109.5 &#10;ĂC0pc-1479d39b99dc169.254.25.10241.201.109.5 &#10;ĭ쓬睊쓌睊쒨睊À䘀घ﬘ĥ⸔眹ܞ-ddÿǏ&#10;ƾ2(ƣŏ,Ͱⷨҝ一ҝҞ벀ҢṰҤἈҤῈҤ⁠Ҥ℠Ҥ↸Ҥ≐Ҥ⌐Ҥ⎨Ҥ⑀Ҥ⓰Ҥ▰Ҥ♠Ҥ✐Ҥ⟐Ҥ⢀Ҥ⤰Ҥ⧰Ҥ⪠Ҥ⭐ҤⰀҤⲰҤⵠҤ⸐Ҥ⻀Ҥ⽰Ҥ〠ҤバҤㆀҤ㉀Ҥ㌀Ҥ㎰Ҥ㑰Ҥ㔠Ҥ㗐Ҥ㚐Ҥ㝀Ҥ㟰ҤŰvꟜꟌꞌꞬ꟔꟠soft-co:ofcesmatags#dateꞜ䀈ānéesꞬ䀃āne date.ƙturn:schemas-microsoft-com:office:smarttags#metricconverterA|a)(M|m))))eures,\.;:\s])Ƃ頌͢᥈ƿﮨƈ ƹ囘 圈圸&#10;瑠坠垀䵌䵅0艀睜囀  Ʋ&#10;借俠⃐㫪ၩ〫鴰䌯尺尀㄀꜀脸ႉ䐀䍏䵕繅1䐀̀ЀꞾ脸䦉&lt;ᒸ䐀漀挀甀洀攀渀琀猀 愀渀搀 匀攀琀琀椀渀最猀᠀⸀㄀꜀ႎ瀀cᰀ̀ЀꞾ䮎&lt;ᒸ瀀挀ሀ㨀㄀꜀းႊ䈀剕䅅U␀̀ЀꞾ䮎&lt;ᒸ䈀甀爀攀愀甀ᘀ  ǒૠ:Ͱⷨҝ一ҝҞ벀ҢṰҤἈҤῈҤ⁠Ҥ℠Ҥ↸Ҥ≐Ҥ⌐Ҥ⎨Ҥ⑀Ҥ⓰Ҥ▰Ҥ♠Ҥ✐Ҥ⟐Ҥ⢀Ҥ⤰Ҥ⧰Ҥ⪠Ҥ⭐ҤⰀҤⲰҤⵠҤ⸐Ҥ⻀Ҥ⽰Ҥ〠ҤバҤㆀҤ㉀Ҥ㌀Ҥ㎰Ҥ㑰Ҥ㔠Ҥ㗐Ҥ㚐Ҥ㝀Ҥ㟰Ҥ㢰Ҥ㥠Ҥ㨐Ҥ㫐Ҥ㮀Ҥ㱀Ҥ㴀Ҥ㷀Ҥ㹰Ҥ㼠Ҥ㿐Ҥ䂀Ҥ䅀Ҥ䇰Ҥ&quot; ǲEG`xबࠄ醶 Stylus COLOR 440 ESC/P 2D尬亸䐐聮彄蚃Ⱘꧠ䐧聮Ɇ+&quot;Č窐知췯覫ကY\ER\S-1-5-21-160848-579lass컰ꮀheex\Folxtensions\beɬ-45eÈ궬+ħC:\Documents and Settings\All Users\Documents\Mes vidéosŗ&quot;C:\Program Files\Microsoft Office\OFFICE11\WINWORD.EXE&quot;ŇpC:\WINDOWS\System32\spool\DRIVERS\W32X86\3\UNIDRVUI.DLL뻯ŷ貤知췯覫TR素瘠肈肸糸ʜ꿐̀Ѐ攀猀攀氀ƞ&#10;借俠⃐㫪ၩ〫鴰䌯尺㰀㄀꜀ႈ圀义佄南☀̀ЀꞾ䮈&lt;ᒸ圀䤀一䐀伀圀匀ᘀ䀀㄀꜀ႈ猀獹整㍭2⠀̀ЀꞾ䮈&lt;ᒸ猀礀猀琀攀洀㌀㈀᠀ƅ慘㝁넀ಐ尺Ƃ槸㝁넨냘繎1⨀̀ƿ樬㝁䈀넀䔀᠀㄀℀Ƶ壬睜厠搀椀攀猀Ʋ群cƬmetricconverter.0ƪSecurity=Impersonation Dynamic False ǝMDtﾰCŵࠌܠ䠭鞈᳗읨᳖嶘ɍ빰ྜྷŰࠌ޸䠭ဈ䠅⾸׳砠ɍɍ⠨׳⠨׳젰ྜྷũࠈ'reŦࠈ'ilisationྜྷšࠈ.rburantsŜࠈ'lairV ǽშ&#10;䀀䀀䀀䀀Ð0＞ἠ봜聱°°°°°°°°°°°°°°°°°°°°°°°°°°°°°°°°00`pÐ0PPp0P0`pppppppppp00` pp``P`p` ppppp°pppP`Pp`pp`pp@pp0@p0°ppppP`Ppppp`ppp°p°0pP°pp`ĠpP°°p°°00PPpp ``P°°`p00pppppp` `P p````pp@```ÀÀÀ`°p````PPPPpppppppppp°`pppp0000ppppppppppppppp&#10;ʼ`` ￼ ✀翽＞‟ᒮ0Ð Vī㺬ヸ佈ミ㹼ヸᇠꗜヘ똈te Ŝ뗤뚨⹠ͬtionř佴ミᇠ⾔ͬ뙘 Ŗ㺬ヸ佈ミ㹼ヸᇠꗜヘ뚠io ŏ뙼띀또t. Ań佴ミᇠツͬ뛰 Ł㺬ヸ佈ミ㹼ヸᇠꗜヘ뜸s  ź뜔럘뚨les ŷ佴ミᇠ⿔ͬ랈 Ŭ㺬ヸ佈ミ㹼ヸᇠꗜヘ럐le ť랬롰띀le. Ţ佴ミᇠ ͫ렠 Ɵ㺬ヸ佈ミ㹼ヸᇠꗜヘ롨n  Ɛ롄뤈럘-575ƍ佴ミᇠ뤬뢸 Ɗ㺬ヸ佈ミ㹼ヸᇠꗜヘ뤀bo ƃ룜마롰on, Ƹdieseldiesel Ƶ佴ミᇠ&quot;맬른 Ʋ㺬ヸ佈ミ㹼ヸᇠꗜヘ맀do ƫ릜멸뤈re dƠetes ƣ佴ミᇠ%&#10;몜먨 ǘ㺬ヸ佈ミ㹼ヸᇠꗜヘ며ap Ǒ멌문마stibǎcarburéacteurǋ佴ミᇠ3뭜뫨 ǀ㺬ヸ佈ミ㹼ヸᇠꗜヘ묰ru ǹ묌믨멸du pǶ( parǱ佴ミᇠ4밌뮘 Ǯ㺬ヸ佈ミ㹼ヸᇠꗜヘ믠s, ǧ뮼벨문oranĜkérosène (ASTę佴ミᇠ&lt;볌뱘 Ė㺬ヸ佈ミ㹼ヸᇠꗜヘ베se ď뱼뵘믨versĄ)naisć佴ミᇠ&gt;뵼봈 ļ㺬ヸ佈ミ㹼ヸᇠꗜヘ뵐la ĵ봬뷀벨de lĲSontlĭ佴ミᇠC㩬ͬ㨠ͬĪ㩄ͬ㬈ͬ뵘ité.&#10; Ġ㺬ヸ佈ミ㹼ヸᇠꗜヘ븰+ ř브뻸炈Ŗégalementʠʠœ佴ミᇠµ皔ͥ뺨 ň㺬ヸ佈ミ㹼ヸᇠꗜヘ뻰 Ł뻌 븸ž佴ミᇠ¹  뽀 Ż㺬ヸ佈ミ㹼ヸᇠꗜヘ  ÿÿ㝘赸ͬŮ쏠ㅢ뿈큀ːū쏀ㅢ㝰뾠Š&#10;280 ﾰC&quot;Ɯ텼㜿kI+&quot;ƾPͰⷨҝ一ҝҞ벀ҢṰҤἈҤῈҤ⁠Ҥ℠Ҥ↸Ҥ≐Ҥ⌐Ҥ⎨Ҥ⑀Ҥ⓰Ҥ▰Ҥ♠Ҥ✐Ҥ⟐Ҥ⢀Ҥ⤰Ҥ⧰Ҥ⪠Ҥ⭐ҤⰀҤⲰҤⵠҤ⸐Ҥ⻀Ҥ⽰Ҥ〠ҤバҤㆀҤ㉀Ҥ㌀Ҥ㎰Ҥ㑰Ҥ㔠Ҥ㗐Ҥ㚐Ҥ㝀Ҥ㟰Ҥ㢰Ҥ㥠Ҥ㨐Ҥ㫐Ҥ㮀Ҥ㱀Ҥ㴀Ҥ㷀Ҥ㹰Ҥ㼠Ҥ㿐Ҥ䂀Ҥ䅀Ҥ䇰Ҥ毈Ҥ池Ҥ洠Ҥ淐Ҥ源Ҥ潐Ҥ瀀Ҥ炰Ҥ煠Ҥ爠Ҥ狐Ҥ玀Ҥ琰Ҥ瓠Ҥ疐Ҥ癀Ҥ眀Ҥ矀Ҥ硰Ҥ礰Ҥ秠Ҥ窠Ҥ+ǑC:\Documents and Settings\All Users\Documents\Ma musique32ǁFPerson.FactoidonǿaddressceǻȰ\ǵ&#10;C:\Program Files\Fichiers communs\Microsoft Shared\OFFICE11\MSXML5.DLLǠꏈ Ͱⷨҝ一ҝҞ벀ҢṰҤἈҤῈҤ⁠Ҥ℠Ҥ↸Ҥ≐Ҥ⌐Ҥ⎨Ҥ⑀Ҥ⓰Ҥ▰Ҥ♠Ҥ✐Ҥ⟐Ҥ⢀Ҥ⤰Ҥ⧰Ҥ⪠Ҥ⭐ҤⰀҤⲰҤⵠҤ⸐Ҥ⻀Ҥ⽰Ҥ%ē쳐DͰⷨҝ一ҝҞ벀ҢṰҤἈҤῈҤ⁠Ҥ℠Ҥ↸Ҥ≐Ҥ⌐Ҥ⎨Ҥ⑀Ҥ⓰Ҥ▰Ҥ♠Ҥ✐Ҥ⟐Ҥ⢀Ҥ⤰Ҥ⧰Ҥ⪠Ҥ⭐ҤⰀҤⲰҤⵠҤ⸐Ҥ⻀Ҥ⽰Ҥ〠ҤバҤㆀҤ㉀Ҥ㌀Ҥ㎰Ҥ㑰Ҥ㔠Ҥ㗐Ҥ㚐Ҥ㝀Ҥ㟰Ҥ㢰Ҥ㥠Ҥ㨐Ҥ㫐Ҥ㮀Ҥ㱀Ҥ㴀Ҥ㷀Ҥ㹰Ҥ㼠Ҥ㿐Ҥ䂀Ҥ䅀Ҥ䇰Ҥ毈Ҥ池Ҥ洠Ҥ淐Ҥ源Ҥ潐Ҥ瀀Ҥ炰Ҥ煠Ҥ爠Ҥ%ĨConvertisseur de mesures䕘ĠQueryInterfaceVşස氊䔀罯䀀䀀䀀䀀耀ʷ\??\C:\WINDOWS\win.ini&#10;ʼ`` ™€ ℀䠀뾃耀＠₀ÐfVƅÆͰⷨҝ一ҝҞ벀ҢṰҤἈҤῈҤ⁠Ҥ℠Ҥ↸Ҥ≐Ҥ⌐Ҥ⎨Ҥ⑀Ҥ⓰Ҥ▰Ҥ♠Ҥ✐Ҥ⟐Ҥ⢀Ҥ⤰Ҥ⧰Ҥ⪠Ҥ⭐ҤⰀҤⲰҤⵠҤ⸐Ҥ⻀Ҥ⽰Ҥ〠ҤバҤㆀҤ㉀Ҥ㌀Ҥ㎰Ҥ㑰Ҥ㔠Ҥ㗐Ҥ㚐Ҥ㝀Ҥ㟰Ҥ㢰Ҥ㥠Ҥ㨐Ҥ㫐Ҥ㮀Ҥ㱀Ҥ㴀Ҥ㷀Ҥ㹰Ҥ㼠Ҥ㿐Ҥ䂀Ҥ䅀Ҥ䇰Ҥ毈Ҥ池Ҥ洠Ҥ淐Ҥ源Ҥ潐Ҥ瀀Ҥ炰Ҥ煠Ҥ爠Ҥ狐Ҥ玀Ҥ琰Ҥ瓠Ҥ疐Ҥ癀Ҥ眀Ҥ矀Ҥ硰Ҥ礰Ҥ秠Ҥ窠Ҥ筐Ҥ簀Ҥ糀Ҥ絰Ҥ縈Ҥ纸Ҥ罨Ҥ耨Ҥ胨Ҥ膘Ҥ艈Ҥ茈Ҥ菈Ҥ葸Ҥ蔨Ҥ藨Ҥ蚘Ҥ蝘Ҥ蠈Ҥ裈Ҥ覈Ҥ訸Ҥ諸Ҥ许Ҥ豨Ҥ贘Ҥ跈Ҥ躈Ҥ輸Ҥ迸Ҥ邨Ҥ酘Ҥ鈈Ҥ銸Ҥ鍨Ҥ鐘Ҥ铈Ҥ镸Ҥ阨Ҥ雘Ҥ鞈Ҥ頸Ҥ飨Ҥ馘Ҥ驈Ҥ髸Ҥ鮨Ҥ鱘Ҥ鴈Ҥ鷈Ҥ鹸Ҥ鼨Ҥ鿘ҤꂈҤꄸҤꇨҤꊘҤꍘҤꐈҤ꒸ҤꕸҤ꘨ҤꛘҤꞈҤꡈҤ꤈ҤꦸҤ꩸ҤꬨҤꯨҤ겘Ҥ굘Ҥ긘Ҥ껈Ҥ꽸Ҥ뀨Ҥ냘Ҥ놘Ҥ뉘Ҥ댈Ҥ돈Ҥ둸Ҥ딨Ҥ뗘Ҥ뚘Ҥ띈Ҥ럸Ҥ뢸Ҥ른Ҥ먨Ҥ뫘Ҥ뮘Ҥ뱈Ҥ본Ҥ붸Ҥ빨Ҥ뼨Ҥ뿘Ҥ킠Ҡ텐Ҡ툀Ҡ튰Ҡ퍠Ҡ퐠Ҡ퓐Ҡ햀Ҡ홀Ҡ휀ҠힰҠҠҠҠҠҠҠҠҠҠfǣࡰdd%ą堐俠⃐㫪ၩ〫鴰䌯尺尀㄀꜀脸ႉ䐀䍏䵕繅1䐀̀ЀꞾ脸䦉&lt;ᒸ䐀漀挀甀洀攀渀琀猀 愀渀搀 匀攀琀琀椀渀最猀᠀⸀㄀꜀ႎ瀀cᰀ̀ЀꞾ䮎&lt;ᒸ瀀挀ሀ搀㄀꜀းᎊ䄀偐䥌繃1䰀̀ЀꞾ㶎&lt;ᒸ㘀䄀瀀瀀氀椀挀愀琀椀漀渀 䐀愀琀愀䀀桳汥㍬⸲汤ⱬ㈭㜱㔶᠀&#10;%ĢC:\Documents and Settings\pc\Application Data&#10;ŗ휨ऀdd Ź㺬ヸ佈ミ㹼ヸᇠꗜヘ&#10; Ų借俠⃐㫪ၩ〫鴰2.ᩴ幙䣓枍㌗먨ᩇ夃㽲䒧얉镕毾&#10;Ť100 aŠ&#10;C:\WINDOWS4Ɯ䟥瞋⮜瞉⦺瞉䦻瞋䬟瞋唁瞋劒瞋厼瞋㋍瞉㆞瞉但瞋・瞉䲕瞋偲瞋袥瞉櫍瞉䗓瞊⊪瞉##Ԁ￼먝￻ୌཱྀĀŨŨŨŨǾ**஠ၱᤀ೤ஸᝰלɘష೚✐✐✐✐虀Ȃ4ƨŘ皠퇘࿨ƥД皠툀톰Ƣư皠툨퇘ǟĀ皠퉐툀ǔȈ皠퉸툨Ǒθ皠튠퉐ǎϨ皠틈퉸ǋϐ皠티튠ǀ쀌皓틈&#10;ǽdÈĬƐǴɘʼ̠΄ϨьҰԔոלـ/&#10;ǷĢ푴푄펄폤표풀s des prsonnesauxqueles 駠 usavez en͈폜ƈҤⴐҫemment des messages électroniques. Cette opérati︼͈︬͈︜͈펴﷼͈폔  āāāociées à des noms de personne./Ćcarburantersoă佴ミᇠ柄材 Ĺ&#10;俠⃐㫪ၩ〫鴰䠯尺䈀㄀㰀쀼な䴀䱁䥁繎1⨀̀Ѐ㲾쀼䩪&lt;ᒸ䴀䄀䰀䄀䤀一䤀一䔀᠀㨀㄀℀氦〃搀敩敳l␀̀Ѐ↾氦䬃&lt;ᒸ搀椀攀猀攀氀ᘀ䠀㈀Ɗ䬀₅搀敩敳㉬搮捯⸀̀Ѐ䊾꼼䮉&lt;ᒸ搀椀攀猀攀氀㈀⸀搀漀挀ᨀ ř&#10;C:\Documents and Settings\pc\Mes documentsō&#10;C:\Program Files\Fichiers communs\Microsoft Shared\OFFICE11\MSXML5.DLLŸ蒈ࠞ͡ddTL#Ţ 尺尀㄀꜀脸ႉ䐀䍏䵕繅1䐀̀ЀꞾ脸䦉&lt;ᒸ䐀漀挀甀洀攀渀琀猀 愀渀搀 匀攀琀琀椀渀最猀᠀䈀㄀꜀脸ႉ䄀䱌单繅1⨀̀ЀꞾ脸ꚉ8ᒸ䄀氀氀 唀猀攀爀猀᠀嘀㄀꜀းᆊ䐀䍏䵕繅1㸀̀ЀꞾး㚊&lt;ᒸ⠀䐀漀挀甀洀攀渀琀猀䀀桳汥㍬⸲汤ⱬ㈭㜱㔸᠀#ƽ&#10;借俠⃐㫪ၩ〫鴰2ƹ\Program Files\Microsoft Office\OFFICE11;C:\WINDOWS\system32;C:\WINDOWS\system;C:\WINDOWS;.;C:\Program Files\Microsoft Office\OFFICE11\;C:\WINDOWS\system32;C:\WINDOWS;C:\WINDOWS\System32\Wbem2ǋÊÌʸC:\WINDOWS\WinSxS\x86_Microsoft.Windows.Common-Controls_6595b64144ccf1df_6.0.2600.2180_x-ww_a84f1ff9\Ǩ쁐皓티ǥ佴ミᇠͫǢ蠸ͬğ༼녘Ĕ眸㝅풠㝇h㖽㝄ą佴ミᇠ᳼ҤͰĂ佴ミᇠ&#10;ᡔͣ켰Ŀ코꤀Ĵ㥼LĶͰⷨҝ一ҝҞ벀ҢṰҤἈҤῈҤ⁠Ҥ℠Ҥ↸Ҥ≐Ҥ⌐Ҥ⎨Ҥ⑀Ҥ⓰Ҥ▰Ҥ♠Ҥ✐Ҥ⟐Ҥ⢀Ҥ⤰Ҥ⧰Ҥ⪠Ҥ⭐ҤⰀҤⲰҤⵠҤ⸐Ҥ⻀Ҥ⽰Ҥ〠ҤバҤㆀҤ㉀Ҥ㌀Ҥ㎰Ҥ㑰Ҥ㔠Ҥ㗐Ҥ㚐Ҥ㝀Ҥ㟰Ҥ㢰Ҥ㥠Ҥ㨐Ҥ㫐Ҥ㮀Ҥ㱀Ҥ㴀Ҥ㷀Ҥ㹰Ҥ㼠Ҥ㿐Ҥ䂀Ҥ䅀Ҥ䇰Ҥ毈Ҥ池Ҥ洠Ҥ淐Ҥ源Ҥ潐Ҥ瀀Ҥ炰Ҥ煠Ҥ爠Ҥ狐Ҥ玀Ҥ琰Ҥ瓠Ҥ疐Ҥ癀Ҥ眀Ҥ矀Ҥ硰Ҥ礰Ҥ秠Ҥ窠Ҥ筐Ҥ簀Ҥ糀Ҥ絰Ҥ縈Ҥ纸Ҥ罨Ҥ耨Ҥ胨Ҥ膘Ҥ艈Ҥ茈Ҥ菈Ҥ葸Ҥ蔨Ҥ藨Ҥ蚘Ҥ蝘Ҥ蠈Ҥ裈Ҥ覈Ҥ訸Ҥ諸Ҥ许Ҥ豨Ҥ贘Ҥ跈Ҥ躈Ҥ輸Ҥ迸Ҥ邨Ҥ酘Ҥ鈈Ҥ銸Ҥ鍨Ҥ鐘Ҥ铈Ҥ镸Ҥ阨Ҥ雘Ҥ鞈Ҥ頸Ҥ飨Ҥ馘Ҥ驈Ҥ髸Ҥ鮨Ҥ鱘Ҥ鴈Ҥ鷈Ҥ鹸Ҥ鼨Ҥ鿘ҤꂈҤꄸҤꇨҤꊘҤꍘҤꐈҤ꒸ҤꕸҤ꘨ҤꛘҤꞈҤꡈҤ꤈ҤLŪC:\WINDOWS\system32š栈眎杰眎푸眐Ĭ琀栈眎杰眎푸眐Ĭ琀-5栈眎杰眎푸眐d琀栈眎杰眎푸眐d琀攀洀ƈ\REGISTRY\USER\S-1-5-21-1606980848-57989841-725345543-1003℀氦〃搀敩敳l␀̀Ѐ↾氦䬃&lt;ᒸ搀椀攀猀攀氀ᘀĀƷ:urn:schemas-microsoft-com:office:smarttags#metricconverterAƧ&quot;A⏠㜿㜿ê&quot;Ă&gt;C:\WINDOWS\system32\stdole2.tlbĵ&gt;C:\WINDOWS\system32\stdole2.tlbĨRelease_TEC~1ĥGetTypeInfoģ칠ाddVŅ᪑嘊©&#10;䀀䀀䀀䀀Ð0＞ἠ봜聱°°°°°°°°°°°°°°°°°°°°°°°°°°°°°°°°0@@`°p @@`@@@@``````````@@P p`pp``pp@P`Pp`p``p` ```@@@````P``@`` 0P ````@P@````PP@P°`° `@```ð`@°°`°°  @@P` ` P@ °P`0@````@`` P`@ `PPP```@`PP`°°°Ppppppp p````@@@@ppppp````````` P````    ```````````````&#10;Ɛ`` ￼ ✀翽＞‟IÐVVƳ⑿¡&#10;䀀䀀䀀䀀Ð0＞ἠ봜聱°°°°°°°°°°°°°°°°°°°°°°°°°°°°°°°°0@@`°p @@`@@@@``````````@@P p`pp``pp@P`Pp`p``p` ```@@@````P``@`` 0P ````@P@````PP@P°`° `@```ð`@°°`°°  @@P` ` P@ °P`0@````@`` P`@ `PPP```@`PP`°°°Ppppppp p````@@@@ppppp````````` P````    ```````````````PP@P°`° `@```ð`@°°`°°  @@P` ` P@ °IÐ@`VVęឲည䀀䀀䀀䀀 !&quot;#$%&amp;'()*+,-./0123456789:;&lt;=&gt;?@ABCDEFGHIJKLMNOPQRSTUVWXYZ[\]^_`abcdefghijklmnopqrstuvwxyz{|}~€‚ƒ„…†‡ˆ‰Š‹ŒŽ‘’“”•–—˜™š›œžŸ ¡¢£¤¥¦§¨©ª«¬­®¯°±²³´µ¶·¸¹º»¼½¾¿ÀÁÂÃÄÅÆÇÈÉÊËÌÍÎÏÐÑÒÓÔÕÖ×ØÙÚÛÜÝÞßàáâãäåæçèéêëìíîïðñòóôõö÷øùúûüýþÿ``  P`0°°°°°°°°°°°°°°°°°°°°°°°°°°)Ɛ`` ￼ ÿᜀᦲ뾀Ⓟ㈁＞‟P pÐp`VVŇ໡᠊p`䀀䀀䀀䀀@`` 0P ````@P@````PP@P°`° `@```ð`@°°`°°  @@P` ` P@ °P`0@````@`` P`@ `PPP```@`PP`°°°Ppppppp p````@@@@ppppp````````` P````    ```````````````li9tì̀ata\Microsoft\Office\Récent\diesel2.lnkࣜܡƻÜW̵ᒌƐ`` ￼ ÿᜀᦲ뾀Ⓕ爡＞‟ÐVƭ؈ȿࣈƪ롸眪Ƨ뢐眪ਠǜdÈĬǟ2C:\PROGRA~1\FICHIE~1\MICROS~1\SMARTT~1\FPERSON.DLLǍᦠ俠⃐㫪ၩ〫鴰䌯尺尀㄀꜀脸ႉ䐀䍏䵕繅1䐀̀ЀꞾ脸䦉&lt;ᒸ䐀漀挀甀洀攀渀琀猀 愀渀搀 匀攀琀琀椀渀最猀᠀䈀㄀꜀脸ႉ䄀䱌单繅1⨀̀ЀꞾ脸ꚉ8ᒸ䄀氀氀 唀猀攀爀猀᠀ǰ俠⃐㫪ၩ〫鴰䌯尺尀㄀꜀脸ႉ䐀䍏䵕繅1䐀̀ЀꞾ脸䦉&lt;ᒸ䐀漀挀甀洀攀渀琀猀 愀渀搀 匀攀琀琀椀渀最猀᠀䈀㄀꜀脸ႉ䄀䱌单繅1⨀̀ЀꞾ脸ꚉ8ᒸ䄀氀氀 唀猀攀爀猀᠀ě2C:\PROGRA~1\FICHIE~1\MICROS~1\SMARTT~1\METCONV.DLL(ĉ&#10;借俠⃐㫪ၩ〫鴰䌯尺尀㄀꜀脸ႉ䐀䍏䵕繅1䐀̀ЀꞾ脸䦉&lt;ᒸ䐀漀挀甀洀攀渀琀猀 愀渀搀 匀攀琀琀椀渀最猀᠀䈀㄀꜀脸ႉ䄀䱌单繅1⨀̀ЀꞾ脸ꚉ8ᒸ䄀氀氀 唀猀攀爀猀᠀昀㔀꜀းᆊ䴀攀渀甀 䐀洀愀䘀̀ЀꞾးꚊ8ᒸ　䴀攀渀甀 䐀洀愀爀爀攀爀䀀桳汥㍬⸲汤ⱬ㈭㜱㘸 (ġ*urn:schemas-microsoft-com:office:smarttagsŕ̋ⶎ粁肐啌䕓ㅾ*뻯㢧要㢦렀All Users:1㢧訐啂䕒啁$뻯㢧訐㱆렀Bureau&quot;ź 借俠⃐㫪ၩ〫鴰䌯尺尀㄀꜀脸ႉ䐀䍏䵕繅1䐀̀ЀꞾ脸䦉&lt;ᒸ䐀漀挀甀洀攀渀琀猀 愀渀搀 匀攀琀琀椀渀最猀᠀䈀㄀꜀脸ႉ䄀䱌单繅1⨀̀ЀꞾ脸ꚉ8ᒸ䄀氀氀 唀猀攀爀猀᠀㨀㄀꜀းႊ䈀剕䅅U␀̀ЀꞾး䚊&lt;ᒸ䈀甀爀攀愀甀ᘀ&quot;Ɣ&#10;借俠⃐㫪ၩ〫鴰䌯尺㰀㄀꜀ႈ圀义佄南☀̀ЀꞾ䮈&lt;ᒸ圀䤀一䐀伀圀匀ᘀƋdÈĬƐǴɘʼ̠΄ϨьҰԔոלـڤ܈ݬߐ࠴࢘ࣼॠৄਨઌ૰୔ஸజಀ೤ൈඬฐ๴໘༼ྠင(Ʊ借俠⃐㫪ၩ〫鴰䌯尺尀㄀꜀脸ႉ䐀䍏䵕繅1䐀̀ЀꞾ脸䦉&lt;ᒸ䐀漀挀甀洀攀渀琀猀 愀渀搀 匀攀琀琀椀渀最猀᠀䈀㄀꜀脸ႉ䄀䱌单繅1⨀̀ЀꞾ脸ꚉ8ᒸ䄀氀氀 唀猀攀爀猀᠀搀㄀꜀းᎊ䄀偐䥌繃1䰀̀ЀꞾꀸꚉ8ᒸ㘀䄀瀀瀀氀椀挀愀琀椀漀渀 䐀愀琀愀䀀桳汥㍬⸲汤ⱬ㈭㜱㔶᠀&#10;(ǉC:\Documents and Settings\All Users\Documents&#10;&#10;Ǿ&#10;The token index you have specified is invalid.Ҥ&#10;ǳdC:\PROGRA~1\FICHIE~1\MICROS~1\SMARTT~1\FPERSON.DLLtǢ诈ꎀ⤠ 䮘ЈꌰEMICROS~1\SMARTTᇠđdC:\PROGRA~1\FICHIE~1\MICROS~1\SMARTT~1\FPERSON.DLLĀC:\Program Files32ľ榬睊ࠄ雨 Ĵ借俠⃐㫪ၩ〫鴰䌯尺䨀㄀꜀☸ᆍ倀佒則繁1㈀̀ЀꞾ㘸䮊&lt;ᒸ倀爀漀最爀愀洀 䘀椀氀攀猀᠀ĥ륨眪︀婘粝娸粝Ģ릀眪︨﷘ş릘眪﹐︀Ŕ린眪ﹸ︨őꁴ眪֘﹐&amp;ŏ&#10;俠⃐㫪ၩ〫鴰䌯尺尀㄀꜀脸ႉ䐀䍏䵕繅1䐀̀ЀꞾ脸䦉&lt;ᒸ䐀漀挀甀洀攀渀琀猀 愀渀搀 匀攀琀琀椀渀最猀᠀䈀㄀꜀脸ႉ䄀䱌单繅1⨀̀ЀꞾ脸ꚉ8ᒸ䄀氀氀 唀猀攀爀猀᠀嘀㄀꜀းᆊ䐀䍏䵕繅1㸀̀Ѐ"/>
        </w:smartTagPr>
        <w:r w:rsidRPr="007D7279">
          <w:t>100 a</w:t>
        </w:r>
      </w:smartTag>
      <w:r w:rsidRPr="007D7279">
        <w:t xml:space="preserve"> été attribué arbitrairement à ce carburant. La seconde carburant, α-méthylnaphtalène, a des qualités d'allumage pauvres et a attribué un indice de cétane de 0. α-méthylnaphtaléne a été remplacé comme un carburant de référence primaire par heptaméthylnonane, qui a un indice de cétane de 15 qui est déterminé par l'usage des deux carburants de référence originale primaire. </w:t>
      </w:r>
    </w:p>
    <w:p w:rsidR="00656AC8" w:rsidRPr="007D7279" w:rsidRDefault="00656AC8" w:rsidP="00F80F9A">
      <w:pPr>
        <w:spacing w:line="360" w:lineRule="auto"/>
        <w:jc w:val="both"/>
      </w:pPr>
      <w:r w:rsidRPr="007D7279">
        <w:t xml:space="preserve">Pour déterminer le nombre de cétane de tout combustible, son retard à l'allumage est comparé à un moteur d'essai standard avec un mélange de carburants de référence (ASTM D-613, IP 41). </w:t>
      </w:r>
    </w:p>
    <w:p w:rsidR="00656AC8" w:rsidRPr="007D7279" w:rsidRDefault="00656AC8" w:rsidP="00F80F9A">
      <w:pPr>
        <w:spacing w:line="360" w:lineRule="auto"/>
        <w:jc w:val="both"/>
      </w:pPr>
      <w:r w:rsidRPr="007D7279">
        <w:t xml:space="preserve">L'indice de cétane d'un carburant </w:t>
      </w:r>
      <w:r>
        <w:t>D</w:t>
      </w:r>
      <w:r w:rsidRPr="007D7279">
        <w:t>iesel est défini comme le nombre entier le plus proche de la valeur déterminée par le calcul du pourcentage en volume de cétane normal (indice de cétane = 100) en mélange avec heptaméthyl-nonane (indice de cétane de cétane = 15), qui correspond la qualité d'allumage du carburant d'essai en comparaison avec cette méthode. Les pourcentages correspondants mélange à l</w:t>
      </w:r>
      <w:r>
        <w:t>a première décimale sont inséré</w:t>
      </w:r>
      <w:r w:rsidRPr="007D7279">
        <w:t xml:space="preserve">s dans l'équation suivante pour obtenir l'indice de cétane : </w:t>
      </w:r>
    </w:p>
    <w:p w:rsidR="00656AC8" w:rsidRPr="007D7279" w:rsidRDefault="00656AC8" w:rsidP="00F80F9A">
      <w:pPr>
        <w:spacing w:line="360" w:lineRule="auto"/>
        <w:jc w:val="both"/>
      </w:pPr>
      <w:r w:rsidRPr="007D7279">
        <w:t>Indice de cétane = % n-cetane + 0.15 (%  heptamethylnonane)</w:t>
      </w:r>
    </w:p>
    <w:p w:rsidR="00656AC8" w:rsidRPr="007D7279" w:rsidRDefault="00656AC8" w:rsidP="00F80F9A">
      <w:pPr>
        <w:spacing w:line="360" w:lineRule="auto"/>
        <w:jc w:val="both"/>
      </w:pPr>
      <w:r>
        <w:t xml:space="preserve">Le </w:t>
      </w:r>
      <w:r w:rsidRPr="007D7279">
        <w:t xml:space="preserve">grand </w:t>
      </w:r>
      <w:r>
        <w:t>indice</w:t>
      </w:r>
      <w:r w:rsidRPr="007D7279">
        <w:t xml:space="preserve"> de cétane du carburant indique</w:t>
      </w:r>
      <w:r>
        <w:t xml:space="preserve"> </w:t>
      </w:r>
      <w:r w:rsidRPr="007D7279">
        <w:t xml:space="preserve">La courte période de délai d'allumage  et la petite quantité de carburant dans la chambre de combustion lorsque le carburant s'enflamme. Par conséquent, </w:t>
      </w:r>
      <w:r>
        <w:t xml:space="preserve">l’utilisation </w:t>
      </w:r>
      <w:r w:rsidRPr="007D7279">
        <w:t>d</w:t>
      </w:r>
      <w:r>
        <w:t>u carburant</w:t>
      </w:r>
      <w:r w:rsidRPr="007D7279">
        <w:t xml:space="preserve"> à haut indice de cétane </w:t>
      </w:r>
      <w:r>
        <w:t>réduit</w:t>
      </w:r>
      <w:r w:rsidRPr="007D7279">
        <w:t xml:space="preserve"> le bruit de combustion et de permettre un meilleur contrôle de combustion, </w:t>
      </w:r>
      <w:r>
        <w:t>donc l’efficacité et la puissance du moteur sont grandes.</w:t>
      </w:r>
    </w:p>
    <w:p w:rsidR="00656AC8" w:rsidRPr="007D7279" w:rsidRDefault="00656AC8" w:rsidP="00F80F9A">
      <w:pPr>
        <w:spacing w:line="360" w:lineRule="auto"/>
        <w:jc w:val="both"/>
      </w:pPr>
      <w:r w:rsidRPr="007D7279">
        <w:t xml:space="preserve">De plus de ce qui précède, le haut indice de cétane des carburants </w:t>
      </w:r>
      <w:r>
        <w:t>se traduit</w:t>
      </w:r>
      <w:r w:rsidRPr="007D7279">
        <w:t xml:space="preserve"> par un démarrage plus facile, particulièrement par temps froid et</w:t>
      </w:r>
      <w:r>
        <w:t xml:space="preserve"> un </w:t>
      </w:r>
      <w:r w:rsidRPr="007D7279">
        <w:t xml:space="preserve"> plus rapide échauffement. Les hautes vitesses des moteurs </w:t>
      </w:r>
      <w:r>
        <w:t>D</w:t>
      </w:r>
      <w:r w:rsidRPr="007D7279">
        <w:t xml:space="preserve">iesel sont normalement fournies avec des combustibles de l'ordre de 45-55 indice de cétane. </w:t>
      </w:r>
    </w:p>
    <w:p w:rsidR="00656AC8" w:rsidRPr="007D7279" w:rsidRDefault="00656AC8" w:rsidP="00F80F9A">
      <w:pPr>
        <w:spacing w:line="360" w:lineRule="auto"/>
        <w:jc w:val="both"/>
      </w:pPr>
      <w:r w:rsidRPr="007D7279">
        <w:t xml:space="preserve">Puisque la détermination de l'indice de cétane par des essais de moteur a besoin d'équipements spéciaux, en plus d'être longues et coûteuses, les méthodes alternatives ont été développées pour calculer les estimations de l'indice de cétane. Les calculs sont basés sur des équations comportant des valeurs d'autres caractéristiques connues du carburant. </w:t>
      </w:r>
    </w:p>
    <w:p w:rsidR="00656AC8" w:rsidRPr="007D7279" w:rsidRDefault="00656AC8" w:rsidP="00F80F9A">
      <w:pPr>
        <w:spacing w:line="360" w:lineRule="auto"/>
        <w:jc w:val="both"/>
      </w:pPr>
      <w:r w:rsidRPr="007D7279">
        <w:lastRenderedPageBreak/>
        <w:t>Une des méthodes les plus couramment utilisées sont  basées sur la formule de calcul l'indice de cétane. Cette formule représente une méthode d'estimation de l'indice de cétane des distillats de la densité API et le mi-point d'ébullition. La valeur de l'indice calculé par la formule est désignée comme un indice de cétane calculé (ASTM D-976, IP 218). Puisque la formule est complexe dans sa manipulation, un nomogramme fondé sur l'équation a été élaborée pour sa solution.</w:t>
      </w:r>
      <w:r w:rsidRPr="00E10AA1">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,8</w:t>
      </w:r>
      <w:r w:rsidRPr="00C96A2F">
        <w:rPr>
          <w:rFonts w:asciiTheme="majorBidi" w:hAnsiTheme="majorBidi" w:cstheme="majorBidi"/>
        </w:rPr>
        <w:t>]</w:t>
      </w:r>
    </w:p>
    <w:p w:rsidR="00656AC8" w:rsidRDefault="00656AC8" w:rsidP="00F80F9A">
      <w:pPr>
        <w:spacing w:line="360" w:lineRule="auto"/>
        <w:jc w:val="both"/>
        <w:rPr>
          <w:rFonts w:asciiTheme="majorBidi" w:eastAsiaTheme="minorHAnsi" w:hAnsiTheme="majorBidi" w:cstheme="majorBidi"/>
        </w:rPr>
      </w:pPr>
      <w:r w:rsidRPr="007D7279">
        <w:rPr>
          <w:rFonts w:asciiTheme="majorBidi" w:hAnsiTheme="majorBidi" w:cstheme="majorBidi"/>
        </w:rPr>
        <w:t xml:space="preserve">L‘indice de cétane a la  limite minimale 45 à 50 suivant </w:t>
      </w:r>
      <w:r w:rsidRPr="007D7279">
        <w:rPr>
          <w:rFonts w:asciiTheme="majorBidi" w:eastAsiaTheme="minorHAnsi" w:hAnsiTheme="majorBidi" w:cstheme="majorBidi"/>
        </w:rPr>
        <w:t xml:space="preserve">ASTM D 613, ASTM D-976. </w:t>
      </w:r>
    </w:p>
    <w:p w:rsidR="00656AC8" w:rsidRPr="00F531EB" w:rsidRDefault="00656AC8" w:rsidP="00F80F9A">
      <w:pPr>
        <w:spacing w:line="360" w:lineRule="auto"/>
        <w:jc w:val="both"/>
        <w:rPr>
          <w:b/>
          <w:bCs/>
        </w:rPr>
      </w:pPr>
      <w:r w:rsidRPr="00F531EB">
        <w:rPr>
          <w:b/>
          <w:bCs/>
        </w:rPr>
        <w:t>I.2.7. Point de trouble  </w:t>
      </w:r>
      <w:r w:rsidRPr="00F531EB">
        <w:rPr>
          <w:rFonts w:asciiTheme="majorBidi" w:hAnsiTheme="majorBidi" w:cstheme="majorBidi"/>
          <w:b/>
          <w:bCs/>
        </w:rPr>
        <w:t>(cloud point):</w:t>
      </w:r>
    </w:p>
    <w:p w:rsidR="00656AC8" w:rsidRPr="007D7279" w:rsidRDefault="00656AC8" w:rsidP="00F80F9A">
      <w:pPr>
        <w:spacing w:line="360" w:lineRule="auto"/>
        <w:jc w:val="both"/>
      </w:pPr>
      <w:r w:rsidRPr="007D7279">
        <w:t>Dans des conditions de basses températures, les constituants paraffiniques de gasoil sont précipités sous forme d'une cire. Cela se dépose et bloque les lignes du circuit de carburant et de filtres,</w:t>
      </w:r>
      <w:r>
        <w:t xml:space="preserve"> donc elles </w:t>
      </w:r>
      <w:r w:rsidRPr="007D7279">
        <w:t>entraîn</w:t>
      </w:r>
      <w:r>
        <w:t>ent</w:t>
      </w:r>
      <w:r w:rsidRPr="007D7279">
        <w:t xml:space="preserve"> un mauvais fonctionnement o</w:t>
      </w:r>
      <w:r>
        <w:t>ù</w:t>
      </w:r>
      <w:r w:rsidRPr="007D7279">
        <w:t xml:space="preserve"> le moteur cale. La température à laquelle la précipitation se produit dépend de l'origine, </w:t>
      </w:r>
      <w:r>
        <w:t>du</w:t>
      </w:r>
      <w:r w:rsidRPr="007D7279">
        <w:t xml:space="preserve"> type et d</w:t>
      </w:r>
      <w:r>
        <w:t>e l</w:t>
      </w:r>
      <w:r w:rsidRPr="007D7279">
        <w:t>'ébullition du carburant. Plus le carburant ne contient</w:t>
      </w:r>
      <w:r>
        <w:t xml:space="preserve"> pas</w:t>
      </w:r>
      <w:r w:rsidRPr="007D7279">
        <w:t xml:space="preserve"> des paraffines, plus la température de préprécipitations et l</w:t>
      </w:r>
      <w:r>
        <w:t>a</w:t>
      </w:r>
      <w:r w:rsidRPr="007D7279">
        <w:t xml:space="preserve"> moins adaptée au moteur pour un fonctionnement à basse température. </w:t>
      </w:r>
    </w:p>
    <w:p w:rsidR="00656AC8" w:rsidRPr="007D7279" w:rsidRDefault="00656AC8" w:rsidP="00F80F9A">
      <w:pPr>
        <w:spacing w:line="360" w:lineRule="auto"/>
        <w:jc w:val="both"/>
      </w:pPr>
      <w:r w:rsidRPr="007D7279">
        <w:t xml:space="preserve">La température à laquelle la cire est d'abord précipitée de la solution peut être mesurée par le test de point de trouble (ASTM D-2500, ASTM D-5771, ASTM D-5772, ASTM D-5773, IP 219). Le point de trouble d'un carburant </w:t>
      </w:r>
      <w:r>
        <w:t>D</w:t>
      </w:r>
      <w:r w:rsidRPr="007D7279">
        <w:t xml:space="preserve">iesel est un guide à la température à laquelle elle obstrue les systèmes de filtrage et de limiter le débit. Le point de trouble est plus important pour les combustibles utilisés à grande vitesse des moteurs </w:t>
      </w:r>
      <w:r>
        <w:t>D</w:t>
      </w:r>
      <w:r w:rsidRPr="007D7279">
        <w:t>iesel, notamment en raison de la tendance à équiper ces moteurs avec des filtres plus fins. Plus le filtre</w:t>
      </w:r>
      <w:r>
        <w:t xml:space="preserve"> est</w:t>
      </w:r>
      <w:r w:rsidRPr="007D7279">
        <w:t xml:space="preserve"> fin </w:t>
      </w:r>
      <w:r>
        <w:t>plus</w:t>
      </w:r>
      <w:r w:rsidRPr="007D7279">
        <w:t xml:space="preserve"> il sera </w:t>
      </w:r>
      <w:r>
        <w:t>cassé</w:t>
      </w:r>
      <w:r w:rsidRPr="007D7279">
        <w:t xml:space="preserve"> facilement par de petites quantités de précipités de cire. </w:t>
      </w:r>
    </w:p>
    <w:p w:rsidR="00656AC8" w:rsidRDefault="00656AC8" w:rsidP="00F80F9A">
      <w:pPr>
        <w:spacing w:line="360" w:lineRule="auto"/>
        <w:jc w:val="both"/>
      </w:pPr>
      <w:r w:rsidRPr="007D7279">
        <w:t xml:space="preserve">Dans la méthode de test simple </w:t>
      </w:r>
      <w:r>
        <w:t>du</w:t>
      </w:r>
      <w:r w:rsidRPr="007D7279">
        <w:t xml:space="preserve"> point de congélation (ASTM D-2500), l'échant</w:t>
      </w:r>
      <w:r>
        <w:t xml:space="preserve">illon est d'abord </w:t>
      </w:r>
      <w:r w:rsidRPr="007D7279">
        <w:t xml:space="preserve">chauffé à une température supérieure au point </w:t>
      </w:r>
      <w:r>
        <w:t>de</w:t>
      </w:r>
      <w:r w:rsidRPr="007D7279">
        <w:t xml:space="preserve"> </w:t>
      </w:r>
      <w:r>
        <w:t>trouble</w:t>
      </w:r>
      <w:r w:rsidRPr="007D7279">
        <w:t xml:space="preserve"> puis refroidie à une vitesse spécifiée et examinés périodiquement. La température à l</w:t>
      </w:r>
      <w:r>
        <w:t>a</w:t>
      </w:r>
      <w:r w:rsidRPr="007D7279">
        <w:t>que</w:t>
      </w:r>
      <w:r>
        <w:t>l</w:t>
      </w:r>
      <w:r w:rsidRPr="007D7279">
        <w:t>l</w:t>
      </w:r>
      <w:r>
        <w:t>e un</w:t>
      </w:r>
      <w:r w:rsidRPr="007D7279">
        <w:t xml:space="preserve"> flou est d'abord observé sur le fond du récipient d'essai est inscrite comme point de trouble. </w:t>
      </w:r>
      <w:r w:rsidRPr="00C96A2F">
        <w:rPr>
          <w:rFonts w:asciiTheme="majorBidi" w:hAnsiTheme="majorBidi" w:cstheme="majorBidi"/>
        </w:rPr>
        <w:t>[1</w:t>
      </w:r>
      <w:r>
        <w:rPr>
          <w:rFonts w:asciiTheme="majorBidi" w:hAnsiTheme="majorBidi" w:cstheme="majorBidi"/>
        </w:rPr>
        <w:t>,8</w:t>
      </w:r>
      <w:r w:rsidRPr="00C96A2F">
        <w:rPr>
          <w:rFonts w:asciiTheme="majorBidi" w:hAnsiTheme="majorBidi" w:cstheme="majorBidi"/>
        </w:rPr>
        <w:t>]</w:t>
      </w:r>
    </w:p>
    <w:p w:rsidR="00656AC8" w:rsidRPr="00883FDB" w:rsidRDefault="00656AC8" w:rsidP="00F80F9A">
      <w:pPr>
        <w:spacing w:line="360" w:lineRule="auto"/>
        <w:jc w:val="both"/>
      </w:pPr>
      <w:r>
        <w:t>Le point de trouble du gasoil est  de 1°C suivant les normes ASTM D2500.</w:t>
      </w:r>
    </w:p>
    <w:p w:rsidR="00656AC8" w:rsidRPr="00F531EB" w:rsidRDefault="00656AC8" w:rsidP="00F80F9A">
      <w:pPr>
        <w:spacing w:line="360" w:lineRule="auto"/>
        <w:jc w:val="both"/>
        <w:rPr>
          <w:b/>
          <w:bCs/>
        </w:rPr>
      </w:pPr>
      <w:r w:rsidRPr="00F531EB">
        <w:rPr>
          <w:b/>
          <w:bCs/>
        </w:rPr>
        <w:t>I.2.8. Composition :</w:t>
      </w:r>
    </w:p>
    <w:p w:rsidR="00656AC8" w:rsidRPr="007D7279" w:rsidRDefault="00656AC8" w:rsidP="00F80F9A">
      <w:pPr>
        <w:spacing w:line="360" w:lineRule="auto"/>
        <w:jc w:val="both"/>
      </w:pPr>
      <w:r w:rsidRPr="007D7279">
        <w:t>La composition chimique du combustible gasoil est extrêmement complexe</w:t>
      </w:r>
      <w:r>
        <w:t>.</w:t>
      </w:r>
      <w:r w:rsidRPr="007D7279">
        <w:t xml:space="preserve"> Pour cette raison, il n'est pas généralement possible d'analyser le gasoil pour les composés individuels, mais il est souvent avantageux de définir les composés présents comme large classifications des types de composés, comme les aromatiques, les paraffines, </w:t>
      </w:r>
      <w:r>
        <w:t xml:space="preserve">les </w:t>
      </w:r>
      <w:r w:rsidRPr="007D7279">
        <w:t xml:space="preserve">naphtènes et </w:t>
      </w:r>
      <w:r>
        <w:t>l</w:t>
      </w:r>
      <w:r w:rsidRPr="007D7279">
        <w:t xml:space="preserve">es oléfines. </w:t>
      </w:r>
    </w:p>
    <w:p w:rsidR="00656AC8" w:rsidRPr="007D7279" w:rsidRDefault="00656AC8" w:rsidP="00F80F9A">
      <w:pPr>
        <w:spacing w:line="360" w:lineRule="auto"/>
        <w:jc w:val="both"/>
      </w:pPr>
      <w:r w:rsidRPr="007D7279">
        <w:t xml:space="preserve">L'un des paramètres physiques les plus importants de définir </w:t>
      </w:r>
      <w:r>
        <w:t xml:space="preserve">le </w:t>
      </w:r>
      <w:r w:rsidRPr="007D7279">
        <w:t xml:space="preserve">gasoil et d'autres produits de distillat moyen, est la distribution d'ébullition (ASTM D-86, ASTM D-2887, ASTM D-2892). Toutefois, le niveau des premiers grands éléments d'information de composition est un groupe de type totales tels qu’il déduit par chromatographie d'adsorption (ASTM D-1319) pour </w:t>
      </w:r>
      <w:r w:rsidRPr="007D7279">
        <w:lastRenderedPageBreak/>
        <w:t>donner</w:t>
      </w:r>
      <w:r>
        <w:t xml:space="preserve"> un </w:t>
      </w:r>
      <w:r w:rsidRPr="007D7279">
        <w:t xml:space="preserve"> pourcent</w:t>
      </w:r>
      <w:r>
        <w:t>age</w:t>
      </w:r>
      <w:r w:rsidRPr="007D7279">
        <w:t xml:space="preserve"> du volume de saturation, des taux, les oléfines et les aromatiques dans les matières ci</w:t>
      </w:r>
      <w:r>
        <w:t>-dessous que l’ébullition 315 °C (600 °</w:t>
      </w:r>
      <w:r w:rsidRPr="007D7279">
        <w:t>F). À la suite de cette séparation, l'analyse de la composition du gasoil et d'autres distillats moyens est alors déterminé</w:t>
      </w:r>
      <w:r>
        <w:t>e</w:t>
      </w:r>
      <w:r w:rsidRPr="007D7279">
        <w:t xml:space="preserve"> par une série Z spectrale de masse sur lequel Z dans la formule empirique C</w:t>
      </w:r>
      <w:r w:rsidRPr="007D7279">
        <w:rPr>
          <w:vertAlign w:val="subscript"/>
        </w:rPr>
        <w:t>n</w:t>
      </w:r>
      <w:r w:rsidRPr="007D7279">
        <w:t>H</w:t>
      </w:r>
      <w:r w:rsidRPr="007D7279">
        <w:rPr>
          <w:vertAlign w:val="subscript"/>
        </w:rPr>
        <w:t xml:space="preserve">2n+ Z </w:t>
      </w:r>
      <w:r w:rsidRPr="007D7279">
        <w:t xml:space="preserve">est une mesure de la déficience en hydrogène de la molécule (ASTM D-2425, ASTM D-2786, ASTM D-3239, ASTM D-6379). </w:t>
      </w:r>
    </w:p>
    <w:p w:rsidR="00656AC8" w:rsidRPr="007D7279" w:rsidRDefault="00656AC8" w:rsidP="00F80F9A">
      <w:pPr>
        <w:spacing w:line="360" w:lineRule="auto"/>
        <w:jc w:val="both"/>
      </w:pPr>
      <w:r w:rsidRPr="007D7279">
        <w:t>La spectrométrie de masse peut fournir plus de détails de composition que l'analyse chromatographi</w:t>
      </w:r>
      <w:r>
        <w:t>que</w:t>
      </w:r>
      <w:r w:rsidRPr="007D7279">
        <w:t>. Toutefois, cette méthode exige que l'échantillon soit séparé en satur</w:t>
      </w:r>
      <w:r>
        <w:t>é</w:t>
      </w:r>
      <w:r w:rsidRPr="007D7279">
        <w:t xml:space="preserve"> et fractions aromatiques (ASTM D-2549) avant l'analyse par spectrométrie de masse. Cette séparation est applicable au gasoil, mais pas </w:t>
      </w:r>
      <w:r>
        <w:t>au</w:t>
      </w:r>
      <w:r w:rsidRPr="007D7279">
        <w:t xml:space="preserve"> kérosène, parce qu'il est impossible d'évaporer le solvant utilisé dans la séparation sans perdre aussi la lumière extrémités du carburéacteur. </w:t>
      </w:r>
      <w:r w:rsidRPr="00C96A2F">
        <w:rPr>
          <w:rFonts w:asciiTheme="majorBidi" w:hAnsiTheme="majorBidi" w:cstheme="majorBidi"/>
        </w:rPr>
        <w:t>[1</w:t>
      </w:r>
      <w:r>
        <w:rPr>
          <w:rFonts w:asciiTheme="majorBidi" w:hAnsiTheme="majorBidi" w:cstheme="majorBidi"/>
        </w:rPr>
        <w:t>,9,10</w:t>
      </w:r>
      <w:r w:rsidRPr="00C96A2F">
        <w:rPr>
          <w:rFonts w:asciiTheme="majorBidi" w:hAnsiTheme="majorBidi" w:cstheme="majorBidi"/>
        </w:rPr>
        <w:t>]</w:t>
      </w:r>
    </w:p>
    <w:p w:rsidR="00656AC8" w:rsidRPr="00D02DEB" w:rsidRDefault="00656AC8" w:rsidP="00F80F9A">
      <w:pPr>
        <w:spacing w:line="360" w:lineRule="auto"/>
        <w:jc w:val="both"/>
        <w:rPr>
          <w:color w:val="FF0000"/>
        </w:rPr>
      </w:pPr>
      <w:r w:rsidRPr="007D7279">
        <w:t xml:space="preserve">La teneur en hydrocarbures aromatiques du gasoil influe sur le nombre de cétane et les émissions d'échappement. Une méthode d'essai (ASTM D-5186) est applicable au </w:t>
      </w:r>
      <w:r>
        <w:t>gasoil</w:t>
      </w:r>
      <w:r w:rsidRPr="007D7279">
        <w:t xml:space="preserve"> et n'est pas affect</w:t>
      </w:r>
      <w:r>
        <w:t>é</w:t>
      </w:r>
      <w:r w:rsidRPr="007D7279">
        <w:t xml:space="preserve"> par la coloration du carburant. La concentration des composés aromatiques dans l</w:t>
      </w:r>
      <w:r>
        <w:t>a fraction</w:t>
      </w:r>
      <w:r w:rsidRPr="007D7279">
        <w:t xml:space="preserve"> 75% de masse et des hydrocarbures aromatiques polycycliques dans la gamme 50% de masse peut être déterminée par cette méthode d'essai. Dans la méthode, de petite</w:t>
      </w:r>
      <w:r>
        <w:t>s</w:t>
      </w:r>
      <w:r w:rsidRPr="007D7279">
        <w:t xml:space="preserve"> quantité</w:t>
      </w:r>
      <w:r>
        <w:t>s</w:t>
      </w:r>
      <w:r w:rsidRPr="007D7279">
        <w:t xml:space="preserve"> de l'échantillon de carburant </w:t>
      </w:r>
      <w:r>
        <w:t>sont</w:t>
      </w:r>
      <w:r w:rsidRPr="007D7279">
        <w:t xml:space="preserve"> injecté</w:t>
      </w:r>
      <w:r>
        <w:t>es</w:t>
      </w:r>
      <w:r w:rsidRPr="007D7279">
        <w:t xml:space="preserve"> sur une colonne d'adsorption remplie </w:t>
      </w:r>
      <w:r>
        <w:t>par</w:t>
      </w:r>
      <w:r w:rsidRPr="007D7279">
        <w:t xml:space="preserve"> </w:t>
      </w:r>
      <w:r w:rsidRPr="00D02DEB">
        <w:t>la silice éluée et du dioxyde</w:t>
      </w:r>
      <w:r w:rsidRPr="007D7279">
        <w:t xml:space="preserve"> de carbone </w:t>
      </w:r>
      <w:r>
        <w:t xml:space="preserve"> en </w:t>
      </w:r>
      <w:r w:rsidRPr="007D7279">
        <w:t>phase mobile.</w:t>
      </w:r>
      <w:r>
        <w:t xml:space="preserve"> Les</w:t>
      </w:r>
      <w:r w:rsidRPr="007D7279">
        <w:t xml:space="preserve"> </w:t>
      </w:r>
      <w:r>
        <w:t>m</w:t>
      </w:r>
      <w:r w:rsidRPr="007D7279">
        <w:t xml:space="preserve">ono et polycycliques aromatiques dans l'échantillon sont séparés et détectés avec une détection par ionisation de flamme. La réponse du détecteur d'hydrocarbures est enregistrée tout au long du temps d'analyse. Les zones correspondant à la chromatographie en phase gazeuse correspondent </w:t>
      </w:r>
      <w:r>
        <w:t xml:space="preserve">aux </w:t>
      </w:r>
      <w:r w:rsidRPr="007D7279">
        <w:t>constituants aromatiques,</w:t>
      </w:r>
      <w:r>
        <w:t xml:space="preserve"> </w:t>
      </w:r>
      <w:r w:rsidRPr="00D02DEB">
        <w:t>et la masse de contenu</w:t>
      </w:r>
      <w:r w:rsidRPr="005A5F17">
        <w:rPr>
          <w:color w:val="FF0000"/>
        </w:rPr>
        <w:t xml:space="preserve"> </w:t>
      </w:r>
      <w:r w:rsidRPr="005A5F17">
        <w:t>de ces groupes est calculé</w:t>
      </w:r>
      <w:r>
        <w:t>e</w:t>
      </w:r>
      <w:r w:rsidRPr="005A5F17">
        <w:t xml:space="preserve"> en normalisation interne</w:t>
      </w:r>
      <w:r w:rsidRPr="005A5F17">
        <w:rPr>
          <w:color w:val="FF0000"/>
        </w:rPr>
        <w:t>.</w:t>
      </w:r>
      <w:r w:rsidRPr="007D7279">
        <w:t xml:space="preserve"> </w:t>
      </w:r>
    </w:p>
    <w:p w:rsidR="00656AC8" w:rsidRPr="007D7279" w:rsidRDefault="00656AC8" w:rsidP="00F80F9A">
      <w:pPr>
        <w:spacing w:line="360" w:lineRule="auto"/>
        <w:jc w:val="both"/>
      </w:pPr>
      <w:r w:rsidRPr="007D7279">
        <w:t xml:space="preserve">Considérant que la résonance magnétique nucléaire peut être utilisée pour déterminer la masse de l'hydrogène </w:t>
      </w:r>
      <w:r>
        <w:t xml:space="preserve">en </w:t>
      </w:r>
      <w:r w:rsidRPr="007D7279">
        <w:t>pourcent</w:t>
      </w:r>
      <w:r>
        <w:t>age</w:t>
      </w:r>
      <w:r w:rsidRPr="007D7279">
        <w:t xml:space="preserve"> dans le gasoil (ASTM D-3701, ASTM D-4808), le pourcentage d'atomes d'hydrogène aromatique et des atomes de carbone aromatique peut être déterminé par résonance haute résolution magnétique nucléaire (ASTM D - 5292). Toutefois, les résultats de cet essai ne sont pas équivalents à la masse ou</w:t>
      </w:r>
      <w:r>
        <w:t xml:space="preserve"> au</w:t>
      </w:r>
      <w:r w:rsidRPr="007D7279">
        <w:t xml:space="preserve"> volume aromatique déterminé par les méthodes chromatographi</w:t>
      </w:r>
      <w:r>
        <w:t>qu</w:t>
      </w:r>
      <w:r w:rsidRPr="007D7279">
        <w:t>es. Les méthodes chromatographi</w:t>
      </w:r>
      <w:r>
        <w:t>qu</w:t>
      </w:r>
      <w:r w:rsidRPr="007D7279">
        <w:t>es détermine</w:t>
      </w:r>
      <w:r>
        <w:t>nt</w:t>
      </w:r>
      <w:r w:rsidRPr="007D7279">
        <w:t xml:space="preserve"> la masse ou le pourcentage du volume des molécules qui ont un ou plusieurs cycles aromatiques. Tout substituant alkyl sur les bagues de contribuer au pourcentage d'aromatiques déterminé par des techniques chromatographi</w:t>
      </w:r>
      <w:r>
        <w:t>qu</w:t>
      </w:r>
      <w:r w:rsidRPr="007D7279">
        <w:t xml:space="preserve">es. </w:t>
      </w:r>
      <w:r w:rsidRPr="00C96A2F">
        <w:rPr>
          <w:rFonts w:asciiTheme="majorBidi" w:hAnsiTheme="majorBidi" w:cstheme="majorBidi"/>
        </w:rPr>
        <w:t>[1</w:t>
      </w:r>
      <w:r>
        <w:rPr>
          <w:rFonts w:asciiTheme="majorBidi" w:hAnsiTheme="majorBidi" w:cstheme="majorBidi"/>
        </w:rPr>
        <w:t>,9</w:t>
      </w:r>
      <w:r w:rsidRPr="00C96A2F">
        <w:rPr>
          <w:rFonts w:asciiTheme="majorBidi" w:hAnsiTheme="majorBidi" w:cstheme="majorBidi"/>
        </w:rPr>
        <w:t>]</w:t>
      </w:r>
    </w:p>
    <w:p w:rsidR="00656AC8" w:rsidRPr="007D7279" w:rsidRDefault="00656AC8" w:rsidP="00F80F9A">
      <w:pPr>
        <w:spacing w:line="360" w:lineRule="auto"/>
        <w:jc w:val="both"/>
      </w:pPr>
      <w:r w:rsidRPr="007D7279">
        <w:t xml:space="preserve">L'importance de la teneur totale en soufre du gasoil ne peut pas être estimée et il est d'une grande importance en raison de la production d'oxydes de soufre qui contamine </w:t>
      </w:r>
      <w:r w:rsidRPr="007D7279">
        <w:lastRenderedPageBreak/>
        <w:t>l'environnement. En règle générale, seul</w:t>
      </w:r>
      <w:r>
        <w:t>s</w:t>
      </w:r>
      <w:r w:rsidRPr="007D7279">
        <w:t xml:space="preserve"> </w:t>
      </w:r>
      <w:r>
        <w:t>les</w:t>
      </w:r>
      <w:r w:rsidRPr="007D7279">
        <w:t xml:space="preserve"> légers des composés soufrés reste</w:t>
      </w:r>
      <w:r>
        <w:t>nt</w:t>
      </w:r>
      <w:r w:rsidRPr="007D7279">
        <w:t xml:space="preserve"> dans le gasoil après raffinage et le gasoil doit répondre aux spécifications de soufre. </w:t>
      </w:r>
    </w:p>
    <w:p w:rsidR="00656AC8" w:rsidRPr="007D7279" w:rsidRDefault="00656AC8" w:rsidP="00F80F9A">
      <w:pPr>
        <w:spacing w:line="360" w:lineRule="auto"/>
        <w:jc w:val="both"/>
      </w:pPr>
      <w:r w:rsidRPr="007D7279">
        <w:t xml:space="preserve">Le traitement </w:t>
      </w:r>
      <w:r>
        <w:t>de raffinage</w:t>
      </w:r>
      <w:r w:rsidRPr="007D7279">
        <w:t xml:space="preserve"> comprend parmi ses objectifs la suppression de ces produits indésirables le sulfure d'hydrogène, </w:t>
      </w:r>
      <w:r>
        <w:t>le</w:t>
      </w:r>
      <w:r w:rsidRPr="007D7279">
        <w:t xml:space="preserve"> soufre mercaptan et </w:t>
      </w:r>
      <w:r>
        <w:t>le</w:t>
      </w:r>
      <w:r w:rsidRPr="007D7279">
        <w:t xml:space="preserve"> soufre libre ou corrosif. Le sulfure d'hydrogène et </w:t>
      </w:r>
      <w:r>
        <w:t xml:space="preserve">les </w:t>
      </w:r>
      <w:r w:rsidRPr="007D7279">
        <w:t>mercaptans causent des odeurs désagréables et les deux sont corrosifs. La présence de ces composés peut être déterminée par l'essai Doctoral (ASTM D-484, ASTM D-4952, IP 30). Le test de docteur (ASTM D-235) assur</w:t>
      </w:r>
      <w:r>
        <w:t>ant</w:t>
      </w:r>
      <w:r w:rsidRPr="007D7279">
        <w:t xml:space="preserve"> la concentration de ces composés est insuffisant pour causer de tels problèmes en utilisation normale. Dans le test, l'échantillon est agité avec une solution de sodium, une petite quantité de soufre est ajouté</w:t>
      </w:r>
      <w:r>
        <w:t>e</w:t>
      </w:r>
      <w:r w:rsidRPr="007D7279">
        <w:t xml:space="preserve"> et le mélange est agité à nouveau. La présence de mercaptans, le sulfure d'hydrogène, ou les deux, est indiquée par une décoloration du soufre </w:t>
      </w:r>
      <w:r>
        <w:t xml:space="preserve">qui </w:t>
      </w:r>
      <w:r w:rsidRPr="007D7279">
        <w:t xml:space="preserve">flotte à l'interface huile-eau ou par une décoloration de l'une des phases. </w:t>
      </w:r>
    </w:p>
    <w:p w:rsidR="00656AC8" w:rsidRPr="007D7279" w:rsidRDefault="00656AC8" w:rsidP="00F80F9A">
      <w:pPr>
        <w:spacing w:line="360" w:lineRule="auto"/>
        <w:jc w:val="both"/>
      </w:pPr>
      <w:r>
        <w:t xml:space="preserve">La petite quantité du </w:t>
      </w:r>
      <w:r w:rsidRPr="007D7279">
        <w:t xml:space="preserve">soufre libre pourrait se traduire dans l'action corrosive sur les éléments métalliques d'un appareil. L'action corrosive est d'une importance particulière dans le cas du brûleur à vaporisation des tubes de pression qui fonctionnent à des températures élevées. Le test habituel appliqué à cet écart est la corrosion (bande de cuivre) test (ASTM D-130, ASTM D-849, IP 154). </w:t>
      </w:r>
    </w:p>
    <w:p w:rsidR="00656AC8" w:rsidRPr="007D7279" w:rsidRDefault="00656AC8" w:rsidP="00F80F9A">
      <w:pPr>
        <w:spacing w:line="360" w:lineRule="auto"/>
        <w:jc w:val="both"/>
      </w:pPr>
      <w:r w:rsidRPr="007D7279">
        <w:t>Les méthodes d'essai bande de cuivre sont utilisé</w:t>
      </w:r>
      <w:r>
        <w:t>e</w:t>
      </w:r>
      <w:r w:rsidRPr="007D7279">
        <w:t xml:space="preserve">s pour déterminer la corrosivité de pièces de moteur </w:t>
      </w:r>
      <w:r>
        <w:t>D</w:t>
      </w:r>
      <w:r w:rsidRPr="007D7279">
        <w:t>iesel et la mesure du degré relatif de corrosivité de gasoil. La plupart des composés du soufre dans le pétrole sont supprimés pendant le raffinage. Toutefois, certains composés du soufre résiduel peuvent avoir une action corrosive sur les différents métaux et l'effet est dépendant des types de composés soufrés présents. Une méthode (ASTM D-130, IP 154) utilise une bande de cuivre immergé dans une quantité donnée de l'échantillon et chauffé à une température pour une période de temps caractéristique du matériau testé. À la fin de cette période, la bande de cuivre est retirée, lavée et comparée aux normes bande de la corrosion du cuivre (ASTM, 2000). Il s'agit d'une réussite ou d'échec d'essai. Dans une autre méthode (ASTM D-849), une bande de cuivre est plongé dans 200 ml d'</w:t>
      </w:r>
      <w:r>
        <w:t>échantillon dans une fiole d’un réfrigérant</w:t>
      </w:r>
      <w:r w:rsidRPr="007D7279">
        <w:t xml:space="preserve"> et placé dans l’eau bouillante pendant 30 minute. À la fin de cette période, la bande de cuivre est éliminée et comparée avec les normes</w:t>
      </w:r>
      <w:r>
        <w:t xml:space="preserve"> d’une</w:t>
      </w:r>
      <w:r w:rsidRPr="007D7279">
        <w:t xml:space="preserve"> bande de cuivre à la corrosion ASTM. </w:t>
      </w:r>
    </w:p>
    <w:p w:rsidR="00656AC8" w:rsidRPr="007D7279" w:rsidRDefault="00656AC8" w:rsidP="00F80F9A">
      <w:pPr>
        <w:spacing w:line="360" w:lineRule="auto"/>
        <w:jc w:val="both"/>
      </w:pPr>
      <w:r w:rsidRPr="007D7279">
        <w:t xml:space="preserve">Les composés azotés dans le gasoil et les distillats moyens peuvent être sélectivement détecté par chimiluminescence. </w:t>
      </w:r>
      <w:r>
        <w:t>Les c</w:t>
      </w:r>
      <w:r w:rsidRPr="007D7279">
        <w:t xml:space="preserve">omposés azotés individuels peuvent être détectés jusqu'à 100 ppm d'azote. </w:t>
      </w:r>
      <w:r w:rsidRPr="00C96A2F">
        <w:rPr>
          <w:rFonts w:asciiTheme="majorBidi" w:hAnsiTheme="majorBidi" w:cstheme="majorBidi"/>
        </w:rPr>
        <w:t>[1</w:t>
      </w:r>
      <w:r>
        <w:rPr>
          <w:rFonts w:asciiTheme="majorBidi" w:hAnsiTheme="majorBidi" w:cstheme="majorBidi"/>
        </w:rPr>
        <w:t>,10</w:t>
      </w:r>
      <w:r w:rsidRPr="00C96A2F">
        <w:rPr>
          <w:rFonts w:asciiTheme="majorBidi" w:hAnsiTheme="majorBidi" w:cstheme="majorBidi"/>
        </w:rPr>
        <w:t>]</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Généralement la nature du gasoil constitue des hydrocarbures paraffiniques, naphténiques, aromatiques et oléfiniques, avec principalement des hydrocarbures de C</w:t>
      </w:r>
      <w:r w:rsidRPr="007D7279">
        <w:rPr>
          <w:rFonts w:asciiTheme="majorBidi" w:hAnsiTheme="majorBidi" w:cstheme="majorBidi"/>
          <w:vertAlign w:val="subscript"/>
        </w:rPr>
        <w:t>9</w:t>
      </w:r>
      <w:r w:rsidRPr="007D7279">
        <w:rPr>
          <w:rFonts w:asciiTheme="majorBidi" w:hAnsiTheme="majorBidi" w:cstheme="majorBidi"/>
        </w:rPr>
        <w:t xml:space="preserve"> à</w:t>
      </w:r>
      <w:r>
        <w:rPr>
          <w:rFonts w:asciiTheme="majorBidi" w:hAnsiTheme="majorBidi" w:cstheme="majorBidi"/>
        </w:rPr>
        <w:t xml:space="preserve"> </w:t>
      </w:r>
      <w:r w:rsidRPr="007D7279">
        <w:rPr>
          <w:rFonts w:asciiTheme="majorBidi" w:hAnsiTheme="majorBidi" w:cstheme="majorBidi"/>
        </w:rPr>
        <w:t>C</w:t>
      </w:r>
      <w:r w:rsidRPr="007D7279">
        <w:rPr>
          <w:rFonts w:asciiTheme="majorBidi" w:hAnsiTheme="majorBidi" w:cstheme="majorBidi"/>
          <w:vertAlign w:val="subscript"/>
        </w:rPr>
        <w:t>20</w:t>
      </w:r>
      <w:r w:rsidRPr="007D7279">
        <w:rPr>
          <w:rFonts w:asciiTheme="majorBidi" w:hAnsiTheme="majorBidi" w:cstheme="majorBidi"/>
        </w:rPr>
        <w:t>.</w:t>
      </w:r>
    </w:p>
    <w:p w:rsidR="00656AC8" w:rsidRPr="00F531EB" w:rsidRDefault="00656AC8" w:rsidP="00F80F9A">
      <w:pPr>
        <w:spacing w:line="360" w:lineRule="auto"/>
        <w:jc w:val="both"/>
        <w:rPr>
          <w:b/>
          <w:bCs/>
        </w:rPr>
      </w:pPr>
      <w:r w:rsidRPr="00F531EB">
        <w:rPr>
          <w:b/>
          <w:bCs/>
        </w:rPr>
        <w:lastRenderedPageBreak/>
        <w:t>I.2.9. Densité (poids spécifique) :</w:t>
      </w:r>
    </w:p>
    <w:p w:rsidR="00656AC8" w:rsidRPr="007D7279" w:rsidRDefault="00656AC8" w:rsidP="00F80F9A">
      <w:pPr>
        <w:spacing w:line="360" w:lineRule="auto"/>
        <w:jc w:val="both"/>
      </w:pPr>
      <w:r w:rsidRPr="007D7279">
        <w:t xml:space="preserve">La densité (ou poids spécifique) est une indication de la densité ou le poids par unité de volume du carburant </w:t>
      </w:r>
      <w:r>
        <w:t>D</w:t>
      </w:r>
      <w:r w:rsidRPr="007D7279">
        <w:t>iesel. Le principal usage de la spécifie gravit</w:t>
      </w:r>
      <w:r>
        <w:t>y</w:t>
      </w:r>
      <w:r w:rsidRPr="007D7279">
        <w:t xml:space="preserve"> (ASTM D-298, IP 160) est de convertir les poids de l'huile </w:t>
      </w:r>
      <w:r>
        <w:t>en</w:t>
      </w:r>
      <w:r w:rsidRPr="007D7279">
        <w:t xml:space="preserve"> volumes ou </w:t>
      </w:r>
      <w:r>
        <w:t>en</w:t>
      </w:r>
      <w:r w:rsidRPr="007D7279">
        <w:t xml:space="preserve"> volumes à des poids. La densité est également nécessaire pour calculer le volume de pétrole ou de produits pétroliers à une température différente de celle à laquelle le volume d'origine a été mesuré. </w:t>
      </w:r>
    </w:p>
    <w:p w:rsidR="00656AC8" w:rsidRPr="007D7279" w:rsidRDefault="00656AC8" w:rsidP="00F80F9A">
      <w:pPr>
        <w:spacing w:line="360" w:lineRule="auto"/>
        <w:jc w:val="both"/>
      </w:pPr>
      <w:r w:rsidRPr="007D7279">
        <w:t>API gravit</w:t>
      </w:r>
      <w:r>
        <w:t>y</w:t>
      </w:r>
      <w:r w:rsidRPr="007D7279">
        <w:t xml:space="preserve"> (ASTM D-1298, IP 160) est un chiffre arbitraire lié à la spécifique gravité, conformément à la formule suivante : </w:t>
      </w:r>
    </w:p>
    <w:p w:rsidR="00656AC8" w:rsidRPr="007D7279" w:rsidRDefault="00656AC8" w:rsidP="00F80F9A">
      <w:pPr>
        <w:spacing w:line="360" w:lineRule="auto"/>
        <w:jc w:val="both"/>
      </w:pPr>
      <w:r w:rsidRPr="007D7279">
        <w:t>°API  = 141.5/(specific gravity  60/60°F)/131.5</w:t>
      </w:r>
    </w:p>
    <w:p w:rsidR="00656AC8" w:rsidRPr="007D7279" w:rsidRDefault="00656AC8" w:rsidP="00F80F9A">
      <w:pPr>
        <w:spacing w:line="360" w:lineRule="auto"/>
        <w:jc w:val="both"/>
      </w:pPr>
      <w:r w:rsidRPr="007D7279">
        <w:br/>
        <w:t xml:space="preserve">Quand un combustible nécessite la centrifugation, la densité est une propriété critique et que la densité du carburant se rapproche de la densité de l'eau (densité API </w:t>
      </w:r>
      <w:r>
        <w:t xml:space="preserve">à </w:t>
      </w:r>
      <w:r w:rsidRPr="007D7279">
        <w:t xml:space="preserve">10 ° C) </w:t>
      </w:r>
      <w:r>
        <w:t>donc</w:t>
      </w:r>
      <w:r w:rsidRPr="007D7279">
        <w:t xml:space="preserve"> l'efficacité de la centrifugation diminue (ASTM D-2069). Quand la séparation de l'eau du carburant n'est pas requise, la densité n'est pas une mesure significative de la qualité des carburants,  mais elle donne des informations utiles lorsqu'il est utilisé lors d'autres tests. </w:t>
      </w:r>
    </w:p>
    <w:p w:rsidR="00656AC8" w:rsidRDefault="00656AC8" w:rsidP="00F80F9A">
      <w:pPr>
        <w:spacing w:line="360" w:lineRule="auto"/>
        <w:jc w:val="both"/>
      </w:pPr>
      <w:r>
        <w:t>La</w:t>
      </w:r>
      <w:r w:rsidRPr="007D7279">
        <w:t xml:space="preserve"> densité élevée est associée à des hydrocarbures aromatiques ou naphténiques et faible densité avec des hydrocarbures paraffiniques. En outre, la valeur calorifique (chaleur de combustion) diminue avec l'augmentation de la densité ou la spécifique gravité. Toutefois, le pouvoir calorifique exprimé par volume de carburant augmente avec une augmentation de la densité ou la spécifique gravité.</w:t>
      </w:r>
      <w:r w:rsidRPr="00E10AA1">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,10,11</w:t>
      </w:r>
      <w:r w:rsidRPr="00C96A2F">
        <w:rPr>
          <w:rFonts w:asciiTheme="majorBidi" w:hAnsiTheme="majorBidi" w:cstheme="majorBidi"/>
        </w:rPr>
        <w:t>]</w:t>
      </w:r>
      <w:r w:rsidRPr="007D7279">
        <w:t xml:space="preserve"> </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La densité du gasoil à 15</w:t>
      </w:r>
      <w:r w:rsidRPr="007D7279">
        <w:rPr>
          <w:rFonts w:asciiTheme="majorBidi" w:hAnsiTheme="majorBidi" w:cstheme="majorBidi"/>
          <w:vertAlign w:val="superscript"/>
        </w:rPr>
        <w:t>°</w:t>
      </w:r>
      <w:r w:rsidRPr="007D7279">
        <w:rPr>
          <w:rFonts w:asciiTheme="majorBidi" w:hAnsiTheme="majorBidi" w:cstheme="majorBidi"/>
        </w:rPr>
        <w:t xml:space="preserve">C est de  0,820 à 0,860 </w:t>
      </w:r>
      <w:r w:rsidRPr="00636553">
        <w:rPr>
          <w:rFonts w:asciiTheme="majorBidi" w:hAnsiTheme="majorBidi" w:cstheme="majorBidi"/>
        </w:rPr>
        <w:t>g/cm</w:t>
      </w:r>
      <w:r w:rsidRPr="00636553">
        <w:rPr>
          <w:rFonts w:asciiTheme="majorBidi" w:hAnsiTheme="majorBidi" w:cstheme="majorBidi"/>
          <w:vertAlign w:val="superscript"/>
        </w:rPr>
        <w:t>3</w:t>
      </w:r>
      <w:r>
        <w:rPr>
          <w:rFonts w:asciiTheme="majorBidi" w:hAnsiTheme="majorBidi" w:cstheme="majorBidi"/>
        </w:rPr>
        <w:t xml:space="preserve"> </w:t>
      </w:r>
      <w:r w:rsidRPr="007D7279">
        <w:rPr>
          <w:rFonts w:asciiTheme="majorBidi" w:hAnsiTheme="majorBidi" w:cstheme="majorBidi"/>
        </w:rPr>
        <w:t xml:space="preserve">suivant les normes ASTM D1298 et ASTM D4052. </w:t>
      </w:r>
    </w:p>
    <w:p w:rsidR="00656AC8" w:rsidRPr="00F531EB" w:rsidRDefault="00656AC8" w:rsidP="00F80F9A">
      <w:pPr>
        <w:spacing w:line="360" w:lineRule="auto"/>
        <w:jc w:val="both"/>
        <w:rPr>
          <w:b/>
          <w:bCs/>
        </w:rPr>
      </w:pPr>
      <w:r w:rsidRPr="00F531EB">
        <w:rPr>
          <w:b/>
          <w:bCs/>
        </w:rPr>
        <w:t>I.2.10. Indice du Diesel :</w:t>
      </w:r>
    </w:p>
    <w:p w:rsidR="00656AC8" w:rsidRPr="007D7279" w:rsidRDefault="00656AC8" w:rsidP="00F80F9A">
      <w:pPr>
        <w:spacing w:line="360" w:lineRule="auto"/>
        <w:jc w:val="both"/>
      </w:pPr>
      <w:r w:rsidRPr="007D7279">
        <w:t xml:space="preserve">L'indice du </w:t>
      </w:r>
      <w:r>
        <w:t>D</w:t>
      </w:r>
      <w:r w:rsidRPr="007D7279">
        <w:t>iesel est dérivé de la densité API et du point d'aniline (ASTM D-611, IP 2), la température minimale à laquelle le carburant est complètement miscible avec un volume égal de l’aniline :</w:t>
      </w:r>
    </w:p>
    <w:p w:rsidR="00656AC8" w:rsidRPr="007D7279" w:rsidRDefault="00656AC8" w:rsidP="00F80F9A">
      <w:pPr>
        <w:spacing w:line="360" w:lineRule="auto"/>
        <w:jc w:val="both"/>
      </w:pPr>
      <w:r w:rsidRPr="007D7279">
        <w:t>Diesel index =  point d'aniline  (°F) x API  gravity/100</w:t>
      </w:r>
    </w:p>
    <w:p w:rsidR="00656AC8" w:rsidRPr="00224F3A" w:rsidRDefault="00656AC8" w:rsidP="00F80F9A">
      <w:pPr>
        <w:spacing w:line="360" w:lineRule="auto"/>
        <w:jc w:val="both"/>
      </w:pPr>
      <w:r w:rsidRPr="007D7279">
        <w:t xml:space="preserve">L'équation ci-dessus est rarement utilisée parce que les résultats peuvent être </w:t>
      </w:r>
      <w:r>
        <w:t>erronés</w:t>
      </w:r>
      <w:r w:rsidRPr="007D7279">
        <w:t>, surtout lorsqu'</w:t>
      </w:r>
      <w:r>
        <w:t>ils</w:t>
      </w:r>
      <w:r w:rsidRPr="007D7279">
        <w:t xml:space="preserve"> sont appliqués aux carburants mélangés. </w:t>
      </w:r>
      <w:r w:rsidRPr="00C96A2F">
        <w:rPr>
          <w:rFonts w:asciiTheme="majorBidi" w:hAnsiTheme="majorBidi" w:cstheme="majorBidi"/>
        </w:rPr>
        <w:t>[1</w:t>
      </w:r>
      <w:r>
        <w:rPr>
          <w:rFonts w:asciiTheme="majorBidi" w:hAnsiTheme="majorBidi" w:cstheme="majorBidi"/>
        </w:rPr>
        <w:t>,10</w:t>
      </w:r>
      <w:r w:rsidRPr="00C96A2F">
        <w:rPr>
          <w:rFonts w:asciiTheme="majorBidi" w:hAnsiTheme="majorBidi" w:cstheme="majorBidi"/>
        </w:rPr>
        <w:t>]</w:t>
      </w:r>
    </w:p>
    <w:p w:rsidR="00656AC8" w:rsidRPr="00F531EB" w:rsidRDefault="00656AC8" w:rsidP="00F80F9A">
      <w:pPr>
        <w:spacing w:line="360" w:lineRule="auto"/>
        <w:jc w:val="both"/>
        <w:rPr>
          <w:b/>
          <w:bCs/>
        </w:rPr>
      </w:pPr>
      <w:r w:rsidRPr="00F531EB">
        <w:rPr>
          <w:b/>
          <w:bCs/>
        </w:rPr>
        <w:t>I.2.11. Point d'éclair </w:t>
      </w:r>
      <w:r w:rsidRPr="00F531EB">
        <w:rPr>
          <w:rFonts w:asciiTheme="majorBidi" w:hAnsiTheme="majorBidi" w:cstheme="majorBidi"/>
          <w:b/>
          <w:bCs/>
        </w:rPr>
        <w:t>(flash point):</w:t>
      </w:r>
    </w:p>
    <w:p w:rsidR="00656AC8" w:rsidRPr="007D7279" w:rsidRDefault="00656AC8" w:rsidP="00F80F9A">
      <w:pPr>
        <w:spacing w:line="360" w:lineRule="auto"/>
        <w:jc w:val="both"/>
      </w:pPr>
      <w:r w:rsidRPr="007D7279">
        <w:t>Le point d'éclair d</w:t>
      </w:r>
      <w:r>
        <w:t>u</w:t>
      </w:r>
      <w:r w:rsidRPr="007D7279">
        <w:t xml:space="preserve"> gasoil </w:t>
      </w:r>
      <w:r w:rsidRPr="00022A00">
        <w:rPr>
          <w:rFonts w:asciiTheme="majorBidi" w:hAnsiTheme="majorBidi" w:cstheme="majorBidi"/>
        </w:rPr>
        <w:t xml:space="preserve">est c'est la température à laquelle les vapeurs libérées par le produit explosent </w:t>
      </w:r>
      <w:r>
        <w:rPr>
          <w:rFonts w:asciiTheme="majorBidi" w:hAnsiTheme="majorBidi" w:cstheme="majorBidi"/>
        </w:rPr>
        <w:t xml:space="preserve">en présence d’air </w:t>
      </w:r>
      <w:r w:rsidRPr="00022A00">
        <w:rPr>
          <w:rFonts w:asciiTheme="majorBidi" w:hAnsiTheme="majorBidi" w:cstheme="majorBidi"/>
        </w:rPr>
        <w:t xml:space="preserve">lors de l'application d'une flamme. La limite est </w:t>
      </w:r>
      <w:r>
        <w:rPr>
          <w:rFonts w:asciiTheme="majorBidi" w:hAnsiTheme="majorBidi" w:cstheme="majorBidi"/>
        </w:rPr>
        <w:t>minimale</w:t>
      </w:r>
      <w:r w:rsidRPr="007D7279">
        <w:t>. L'essai du point d'éclair est un guide pour les risques d'incendie liés à l'utilisation du com</w:t>
      </w:r>
      <w:r>
        <w:t>bustible et peut-être déterminé</w:t>
      </w:r>
      <w:r w:rsidRPr="007D7279">
        <w:t xml:space="preserve"> par plusieurs méthodes d'essai, mais les résultats ne sont pas toujours strictement comparables. </w:t>
      </w:r>
    </w:p>
    <w:p w:rsidR="00656AC8" w:rsidRDefault="00656AC8" w:rsidP="00F80F9A">
      <w:pPr>
        <w:spacing w:line="360" w:lineRule="auto"/>
        <w:jc w:val="both"/>
      </w:pPr>
    </w:p>
    <w:p w:rsidR="00656AC8" w:rsidRPr="007D7279" w:rsidRDefault="00656AC8" w:rsidP="00F80F9A">
      <w:pPr>
        <w:spacing w:line="360" w:lineRule="auto"/>
        <w:jc w:val="both"/>
      </w:pPr>
      <w:r w:rsidRPr="007D7279">
        <w:t xml:space="preserve">Le point d'éclair minimal est habituellement défini par la méthode Abel (IP 170), bien que la méthode Pensky-Martens (ASTM D-93, IP 34) soit également précisée. La méthode de TAG (ASTM D-56) est utilisée à la fois pour les limites minimales et maximales, tandis que certaines spécifications militaires </w:t>
      </w:r>
      <w:r>
        <w:t xml:space="preserve">peuvent </w:t>
      </w:r>
      <w:r w:rsidRPr="007D7279">
        <w:t xml:space="preserve">aussi donner des limites obligatoires par la méthode Pensky-Martens (ASTM D-93, IP 34). La méthode Abel (IP 170) peut donner des résultats jusqu'à 2-3 ° C (3-5 ° F) de moins que la méthode de TAG (ASTM D-56). </w:t>
      </w:r>
    </w:p>
    <w:p w:rsidR="00656AC8" w:rsidRPr="007D7279" w:rsidRDefault="00656AC8" w:rsidP="00F80F9A">
      <w:pPr>
        <w:spacing w:line="360" w:lineRule="auto"/>
        <w:jc w:val="both"/>
      </w:pPr>
      <w:r w:rsidRPr="007D7279">
        <w:t xml:space="preserve">De même, pour le gasoil, le point d'éclair est un guide pour les risques d'incendie liés à l'énergie et peut-être déterminé par les mêmes méthodes de test tel qu’indiqué ci-dessus (ASTM D-56, ASTM D-93, ASTM D-3828, IP 34, IP 170, IP 303). </w:t>
      </w:r>
    </w:p>
    <w:p w:rsidR="00656AC8" w:rsidRPr="007D7279" w:rsidRDefault="00656AC8" w:rsidP="00F80F9A">
      <w:pPr>
        <w:spacing w:line="360" w:lineRule="auto"/>
        <w:jc w:val="both"/>
      </w:pPr>
      <w:r w:rsidRPr="007D7279">
        <w:t>Il convient de noter que les différentes méthodes de point d'éclair peuvent donner des résultats différents et dans le cas des deux méthodes les plus couramment utilisés (Abel et TAG), il a été constaté que l'ancienne (IP 170) peut donner des résultats jusqu'à 1 - 2 ° C de moins que cette dernière méthode (ASTM D-56). Set flash (ASTM D-3828, IP 303)</w:t>
      </w:r>
      <w:r>
        <w:t xml:space="preserve"> les</w:t>
      </w:r>
      <w:r w:rsidRPr="007D7279">
        <w:t xml:space="preserve"> résultats sont généralement très proches des valeurs Abel. </w:t>
      </w:r>
    </w:p>
    <w:p w:rsidR="00656AC8" w:rsidRPr="007D7279" w:rsidRDefault="00656AC8" w:rsidP="00F80F9A">
      <w:pPr>
        <w:spacing w:line="360" w:lineRule="auto"/>
        <w:jc w:val="both"/>
      </w:pPr>
      <w:r w:rsidRPr="007D7279">
        <w:t xml:space="preserve">Dans la pratique, le point d'éclair est important, surtout pour </w:t>
      </w:r>
      <w:r>
        <w:t>le</w:t>
      </w:r>
      <w:r w:rsidRPr="007D7279">
        <w:t xml:space="preserve"> carburant</w:t>
      </w:r>
      <w:r>
        <w:t xml:space="preserve"> gasoil</w:t>
      </w:r>
      <w:r w:rsidRPr="007D7279">
        <w:t>. Un point d'éclair trop bas caus</w:t>
      </w:r>
      <w:r>
        <w:t>e</w:t>
      </w:r>
      <w:r w:rsidRPr="007D7279">
        <w:t xml:space="preserve"> </w:t>
      </w:r>
      <w:r>
        <w:t xml:space="preserve">une </w:t>
      </w:r>
      <w:r w:rsidRPr="007D7279">
        <w:t>combusti</w:t>
      </w:r>
      <w:r>
        <w:t>on</w:t>
      </w:r>
      <w:r w:rsidRPr="007D7279">
        <w:t xml:space="preserve"> </w:t>
      </w:r>
      <w:r>
        <w:t>et</w:t>
      </w:r>
      <w:r w:rsidRPr="007D7279">
        <w:t xml:space="preserve"> un risque d'incendie et d'explosion. En outre, un faible point d'éclair indiqu</w:t>
      </w:r>
      <w:r>
        <w:t>e</w:t>
      </w:r>
      <w:r w:rsidRPr="007D7279">
        <w:t xml:space="preserve"> une contamination pa</w:t>
      </w:r>
      <w:r>
        <w:t>r des combustibles plus volatil</w:t>
      </w:r>
      <w:r w:rsidRPr="007D7279">
        <w:t xml:space="preserve"> et explosive, comme l'essence. </w:t>
      </w:r>
      <w:r w:rsidRPr="00C96A2F">
        <w:rPr>
          <w:rFonts w:asciiTheme="majorBidi" w:hAnsiTheme="majorBidi" w:cstheme="majorBidi"/>
        </w:rPr>
        <w:t>[1</w:t>
      </w:r>
      <w:r>
        <w:rPr>
          <w:rFonts w:asciiTheme="majorBidi" w:hAnsiTheme="majorBidi" w:cstheme="majorBidi"/>
        </w:rPr>
        <w:t>,11</w:t>
      </w:r>
      <w:r w:rsidRPr="00C96A2F">
        <w:rPr>
          <w:rFonts w:asciiTheme="majorBidi" w:hAnsiTheme="majorBidi" w:cstheme="majorBidi"/>
        </w:rPr>
        <w:t>]</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Le point d’éclair d</w:t>
      </w:r>
      <w:r>
        <w:rPr>
          <w:rFonts w:asciiTheme="majorBidi" w:hAnsiTheme="majorBidi" w:cstheme="majorBidi"/>
        </w:rPr>
        <w:t>u</w:t>
      </w:r>
      <w:r w:rsidRPr="007D7279">
        <w:rPr>
          <w:rFonts w:asciiTheme="majorBidi" w:hAnsiTheme="majorBidi" w:cstheme="majorBidi"/>
        </w:rPr>
        <w:t xml:space="preserve"> gasoil est de 52 à 66 </w:t>
      </w:r>
      <w:r w:rsidRPr="007D7279">
        <w:rPr>
          <w:rFonts w:asciiTheme="majorBidi" w:hAnsiTheme="majorBidi" w:cstheme="majorBidi"/>
          <w:vertAlign w:val="superscript"/>
        </w:rPr>
        <w:t>°</w:t>
      </w:r>
      <w:r w:rsidRPr="007D7279">
        <w:rPr>
          <w:rFonts w:asciiTheme="majorBidi" w:hAnsiTheme="majorBidi" w:cstheme="majorBidi"/>
        </w:rPr>
        <w:t>C suivant des normes ASTM D-93.</w:t>
      </w:r>
    </w:p>
    <w:p w:rsidR="00656AC8" w:rsidRPr="00F531EB" w:rsidRDefault="00656AC8" w:rsidP="00F80F9A">
      <w:pPr>
        <w:spacing w:line="360" w:lineRule="auto"/>
        <w:jc w:val="both"/>
        <w:rPr>
          <w:b/>
          <w:bCs/>
        </w:rPr>
      </w:pPr>
      <w:r w:rsidRPr="00F531EB">
        <w:rPr>
          <w:b/>
          <w:bCs/>
        </w:rPr>
        <w:t xml:space="preserve">I.2.12. Point de congélation </w:t>
      </w:r>
      <w:r w:rsidRPr="00F531EB">
        <w:rPr>
          <w:rFonts w:asciiTheme="majorBidi" w:hAnsiTheme="majorBidi" w:cstheme="majorBidi"/>
          <w:b/>
          <w:bCs/>
        </w:rPr>
        <w:t xml:space="preserve">(freezing point) </w:t>
      </w:r>
      <w:r w:rsidRPr="00F531EB">
        <w:rPr>
          <w:b/>
          <w:bCs/>
        </w:rPr>
        <w:t>et le point de filtrabilité (</w:t>
      </w:r>
      <w:r w:rsidRPr="00F531EB">
        <w:rPr>
          <w:rFonts w:asciiTheme="majorBidi" w:hAnsiTheme="majorBidi" w:cstheme="majorBidi"/>
          <w:b/>
          <w:bCs/>
        </w:rPr>
        <w:t>CFPP (Cold Filter Plugging Point)</w:t>
      </w:r>
      <w:r w:rsidRPr="00F531EB">
        <w:rPr>
          <w:b/>
          <w:bCs/>
        </w:rPr>
        <w:t> :</w:t>
      </w:r>
    </w:p>
    <w:p w:rsidR="00656AC8" w:rsidRPr="007D7279" w:rsidRDefault="00656AC8" w:rsidP="00F80F9A">
      <w:pPr>
        <w:spacing w:line="360" w:lineRule="auto"/>
        <w:jc w:val="both"/>
      </w:pPr>
      <w:r w:rsidRPr="007D7279">
        <w:t xml:space="preserve">Trois méthodes de test sont disponibles pour la détermination du point de congélation. Les trois méthodes ont été trouvées pour donner des résultats équivalents. Cependant, quand une spécification </w:t>
      </w:r>
      <w:r>
        <w:t xml:space="preserve">est </w:t>
      </w:r>
      <w:r w:rsidRPr="007D7279">
        <w:t xml:space="preserve">demandée pour un test spécifique, seul cet essai doit être utilisé. </w:t>
      </w:r>
    </w:p>
    <w:p w:rsidR="00656AC8" w:rsidRPr="007D7279" w:rsidRDefault="00656AC8" w:rsidP="00F80F9A">
      <w:pPr>
        <w:spacing w:line="360" w:lineRule="auto"/>
        <w:jc w:val="both"/>
      </w:pPr>
      <w:r w:rsidRPr="007D7279">
        <w:t xml:space="preserve">Dans le premier test (ASTM D-2386, IP 16), un échantillon </w:t>
      </w:r>
      <w:r>
        <w:t>du</w:t>
      </w:r>
      <w:r w:rsidRPr="007D7279">
        <w:t xml:space="preserve"> combustible est placé dans un tube à double enveloppe de l'échantillon qui </w:t>
      </w:r>
      <w:r>
        <w:t>porte</w:t>
      </w:r>
      <w:r w:rsidRPr="007D7279">
        <w:t xml:space="preserve"> aussi un thermomètre et un agitateur. Le tube est placé dans une fiole à vide contenant le fluide de refroidissement. Différents liquides de refroidissement utilisés sont l'acétone, l'alcool méthylique, l'alcool éthylique</w:t>
      </w:r>
      <w:r>
        <w:t> ;</w:t>
      </w:r>
      <w:r w:rsidRPr="007D7279">
        <w:t xml:space="preserve"> </w:t>
      </w:r>
      <w:r>
        <w:t>l</w:t>
      </w:r>
      <w:r w:rsidRPr="007D7279">
        <w:t>'alcool isopropylique,</w:t>
      </w:r>
      <w:r>
        <w:t xml:space="preserve"> le</w:t>
      </w:r>
      <w:r w:rsidRPr="007D7279">
        <w:t xml:space="preserve"> dioxyde de carbone solide ou l'azote liquide. Comme l'échantillon se refroidit, </w:t>
      </w:r>
      <w:r>
        <w:t>il</w:t>
      </w:r>
      <w:r w:rsidRPr="007D7279">
        <w:t xml:space="preserve"> est constamment agité. La température à laquelle apparaissent les cristaux d'hydrocarbures est enregistrée. L'échantillo</w:t>
      </w:r>
      <w:r>
        <w:t>n à double enveloppe est retiré</w:t>
      </w:r>
      <w:r w:rsidRPr="007D7279">
        <w:t xml:space="preserve"> du liquide de refroidissement e</w:t>
      </w:r>
      <w:r>
        <w:t>t autorisé</w:t>
      </w:r>
      <w:r w:rsidRPr="007D7279">
        <w:t xml:space="preserve"> à chaud, sous agitation continue. La température à laquelle les cristaux disparaissent complètement est enregistrée. </w:t>
      </w:r>
    </w:p>
    <w:p w:rsidR="00656AC8" w:rsidRPr="007D7279" w:rsidRDefault="00656AC8" w:rsidP="00F80F9A">
      <w:pPr>
        <w:spacing w:line="360" w:lineRule="auto"/>
        <w:jc w:val="both"/>
      </w:pPr>
      <w:r w:rsidRPr="007D7279">
        <w:lastRenderedPageBreak/>
        <w:t>Dans le second test (ASTM D-5901, IP 434), une méthode optique automatisé</w:t>
      </w:r>
      <w:r>
        <w:t>e</w:t>
      </w:r>
      <w:r w:rsidRPr="007D7279">
        <w:t xml:space="preserve"> est utilisé</w:t>
      </w:r>
      <w:r>
        <w:t>e</w:t>
      </w:r>
      <w:r w:rsidRPr="007D7279">
        <w:t xml:space="preserve"> pour </w:t>
      </w:r>
      <w:r>
        <w:t>la gamme de température à -70 °</w:t>
      </w:r>
      <w:r w:rsidRPr="007D7279">
        <w:t>C (</w:t>
      </w:r>
      <w:r>
        <w:t>-94 °</w:t>
      </w:r>
      <w:r w:rsidRPr="007D7279">
        <w:t>F). Da</w:t>
      </w:r>
      <w:r>
        <w:t xml:space="preserve">ns cette méthode, aprés 25 minute, une </w:t>
      </w:r>
      <w:r w:rsidRPr="007D7279">
        <w:t>partie du combustible est placé</w:t>
      </w:r>
      <w:r>
        <w:t>e</w:t>
      </w:r>
      <w:r w:rsidRPr="007D7279">
        <w:t xml:space="preserve"> dans une chambre d'essai qui est refroidi</w:t>
      </w:r>
      <w:r>
        <w:t>e</w:t>
      </w:r>
      <w:r w:rsidRPr="007D7279">
        <w:t xml:space="preserve"> en permanence tout en étant agité</w:t>
      </w:r>
      <w:r>
        <w:t>e</w:t>
      </w:r>
      <w:r w:rsidRPr="007D7279">
        <w:t xml:space="preserve"> et surveillé</w:t>
      </w:r>
      <w:r>
        <w:t>e</w:t>
      </w:r>
      <w:r w:rsidRPr="007D7279">
        <w:t xml:space="preserve"> par un système optique. La température de l'échantillon est mesurée avec un appareil électronique de mesure et l</w:t>
      </w:r>
      <w:r>
        <w:t>a température à</w:t>
      </w:r>
      <w:r w:rsidRPr="007D7279">
        <w:t xml:space="preserve"> </w:t>
      </w:r>
      <w:r>
        <w:t>laquelle</w:t>
      </w:r>
      <w:r w:rsidRPr="007D7279">
        <w:t xml:space="preserve"> les cristaux apparaissent en premier et ensuite,</w:t>
      </w:r>
      <w:r>
        <w:t xml:space="preserve"> elles</w:t>
      </w:r>
      <w:r w:rsidRPr="007D7279">
        <w:t xml:space="preserve"> </w:t>
      </w:r>
      <w:r>
        <w:t xml:space="preserve"> disparaissent par le réchauffement</w:t>
      </w:r>
      <w:r w:rsidRPr="007D7279">
        <w:t xml:space="preserve"> est enregistrée. </w:t>
      </w:r>
      <w:r w:rsidRPr="00C96A2F">
        <w:rPr>
          <w:rFonts w:asciiTheme="majorBidi" w:hAnsiTheme="majorBidi" w:cstheme="majorBidi"/>
        </w:rPr>
        <w:t>[1</w:t>
      </w:r>
      <w:r>
        <w:rPr>
          <w:rFonts w:asciiTheme="majorBidi" w:hAnsiTheme="majorBidi" w:cstheme="majorBidi"/>
        </w:rPr>
        <w:t>,11,12</w:t>
      </w:r>
      <w:r w:rsidRPr="00C96A2F">
        <w:rPr>
          <w:rFonts w:asciiTheme="majorBidi" w:hAnsiTheme="majorBidi" w:cstheme="majorBidi"/>
        </w:rPr>
        <w:t>]</w:t>
      </w:r>
    </w:p>
    <w:p w:rsidR="00656AC8" w:rsidRPr="007D7279" w:rsidRDefault="00656AC8" w:rsidP="00F80F9A">
      <w:pPr>
        <w:spacing w:line="360" w:lineRule="auto"/>
        <w:jc w:val="both"/>
      </w:pPr>
      <w:r w:rsidRPr="007D7279">
        <w:t>Dans la troisième méthode (ASTM D-5972, IP 435), une méthode automatisée</w:t>
      </w:r>
      <w:r>
        <w:t xml:space="preserve"> en</w:t>
      </w:r>
      <w:r w:rsidRPr="007D7279">
        <w:t xml:space="preserve"> phase de transition est utilisé dans les températu</w:t>
      </w:r>
      <w:r>
        <w:t>res comprises entre -80 et 20 °C (-112 °F à 68 °</w:t>
      </w:r>
      <w:r w:rsidRPr="007D7279">
        <w:t>F). Dans ce test, un échantillon est ref</w:t>
      </w:r>
      <w:r>
        <w:t>roidi à une vitesse de 15 ± 5 °</w:t>
      </w:r>
      <w:r w:rsidRPr="007D7279">
        <w:t>C / min tout</w:t>
      </w:r>
      <w:r>
        <w:t xml:space="preserve"> en</w:t>
      </w:r>
      <w:r w:rsidRPr="007D7279">
        <w:t xml:space="preserve"> étant continuellement éclairé par une source lumineuse. L'échantillon est contrôlé en permanence par un réseau de détecteurs optiques pour la première formation de cristaux d'hydrocarbures solides. Après que l'échantillon est chauffé au taux de 10 ± 0,5 ° C / min jusqu'à ce que tous les cristaux </w:t>
      </w:r>
      <w:r>
        <w:t>retournent</w:t>
      </w:r>
      <w:r w:rsidRPr="007D7279">
        <w:t xml:space="preserve"> à la phase liquide et que la température est également enregistrée. </w:t>
      </w:r>
    </w:p>
    <w:p w:rsidR="00656AC8" w:rsidRPr="007D7279" w:rsidRDefault="00656AC8" w:rsidP="00F80F9A">
      <w:pPr>
        <w:spacing w:line="360" w:lineRule="auto"/>
        <w:jc w:val="both"/>
      </w:pPr>
      <w:r w:rsidRPr="007D7279">
        <w:t xml:space="preserve">Le point de congélation ne doit pas être confondu avec le point d'écoulement, qui est un indice de la plus basse température à laquelle le pétrole brut s'écoule dans certaines conditions. </w:t>
      </w:r>
      <w:r w:rsidRPr="00C96A2F">
        <w:rPr>
          <w:rFonts w:asciiTheme="majorBidi" w:hAnsiTheme="majorBidi" w:cstheme="majorBidi"/>
        </w:rPr>
        <w:t>[1</w:t>
      </w:r>
      <w:r>
        <w:rPr>
          <w:rFonts w:asciiTheme="majorBidi" w:hAnsiTheme="majorBidi" w:cstheme="majorBidi"/>
        </w:rPr>
        <w:t>,11</w:t>
      </w:r>
      <w:r w:rsidRPr="00C96A2F">
        <w:rPr>
          <w:rFonts w:asciiTheme="majorBidi" w:hAnsiTheme="majorBidi" w:cstheme="majorBidi"/>
        </w:rPr>
        <w:t>]</w:t>
      </w:r>
    </w:p>
    <w:p w:rsidR="00656AC8" w:rsidRPr="007D7279" w:rsidRDefault="00656AC8" w:rsidP="00F80F9A">
      <w:pPr>
        <w:spacing w:line="360" w:lineRule="auto"/>
        <w:jc w:val="both"/>
      </w:pPr>
      <w:r w:rsidRPr="007D7279">
        <w:t xml:space="preserve">Le point de congélation du gasoil est de 0°C à -15°C suivant les normes ASTM D-5972, IP 435. </w:t>
      </w:r>
      <w:r w:rsidRPr="007D7279">
        <w:br/>
        <w:t>Une propriété analogue, la température d</w:t>
      </w:r>
      <w:r>
        <w:t>u</w:t>
      </w:r>
      <w:r w:rsidRPr="007D7279">
        <w:t xml:space="preserve"> point de la filtrabilité est adaptée pour estimer la température minimale à laquelle un combustible </w:t>
      </w:r>
      <w:r>
        <w:t>D</w:t>
      </w:r>
      <w:r w:rsidRPr="007D7279">
        <w:t xml:space="preserve">iesel </w:t>
      </w:r>
      <w:r>
        <w:t>introduit</w:t>
      </w:r>
      <w:r w:rsidRPr="007D7279">
        <w:t xml:space="preserve"> le trouble libre dans certains systèmes à carburant (ASTM D-6371, IP 309). Dans ce test, soi</w:t>
      </w:r>
      <w:r>
        <w:t xml:space="preserve">t on utilise des </w:t>
      </w:r>
      <w:r w:rsidRPr="007D7279">
        <w:t xml:space="preserve">appareils manuels ou automatisés, </w:t>
      </w:r>
      <w:r>
        <w:t>un échantillon de combustible</w:t>
      </w:r>
      <w:r w:rsidRPr="007D7279">
        <w:t xml:space="preserve"> est refroidi dans des conditions spécifiées et, à intervalles de 1 °C, l'échantillon est aspiré dans une pipette sous vide contrôlé à travers un filtre normalisé métallique. Comme l'échantillon continu à refroidir, la procédure est répétée pour chaque 1 °C en dessous du premier test de température. L'essai se poursuit jusqu'à ce que la quantité de cristaux de cire, qui se sont séparés de la solution est suffisant</w:t>
      </w:r>
      <w:r>
        <w:t>e</w:t>
      </w:r>
      <w:r w:rsidRPr="007D7279">
        <w:t xml:space="preserve"> pour arrêter ou ralentir l'écoulement de sorte, que le temps nécessaire pour remplir la pipette est supérieur à 60 secondes o</w:t>
      </w:r>
      <w:r>
        <w:t>ù</w:t>
      </w:r>
      <w:r w:rsidRPr="007D7279">
        <w:t xml:space="preserve"> le carburant ne retourne pas totalement au récipient d'essai </w:t>
      </w:r>
      <w:r>
        <w:t>après</w:t>
      </w:r>
      <w:r w:rsidRPr="007D7279">
        <w:t xml:space="preserve"> le carburant est refroidi par </w:t>
      </w:r>
      <w:smartTag w:uri="urn:schemas-microsoft-com:office:smarttags" w:element="metricconverter">
        <w:smartTagPr>
          <w:attr w:name="ProductID" w:val="ﾰCŵࠌܠ䠭鞈᳗읨᳖嶘ɍ빰ྜྷŰࠌ޸䠭ဈ䠅⾸׳砠ɍɍ⠨׳⠨׳젰ྜྷũࠈ'reŦࠈ'ilisationྜྷšࠈ.rburantsŜࠈ'lair"/>
        </w:smartTagPr>
        <w:r w:rsidRPr="007D7279">
          <w:t>1°C</w:t>
        </w:r>
      </w:smartTag>
      <w:r w:rsidRPr="007D7279">
        <w:t>.</w:t>
      </w:r>
      <w:r w:rsidRPr="00805E5D">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,11,12</w:t>
      </w:r>
      <w:r w:rsidRPr="00C96A2F">
        <w:rPr>
          <w:rFonts w:asciiTheme="majorBidi" w:hAnsiTheme="majorBidi" w:cstheme="majorBidi"/>
        </w:rPr>
        <w:t>]</w:t>
      </w:r>
    </w:p>
    <w:p w:rsidR="00656AC8" w:rsidRPr="007D7279" w:rsidRDefault="00656AC8" w:rsidP="00F80F9A">
      <w:pPr>
        <w:spacing w:line="360" w:lineRule="auto"/>
        <w:jc w:val="both"/>
      </w:pPr>
      <w:r w:rsidRPr="007D7279">
        <w:t xml:space="preserve"> La température indiquée au cours de laquelle la</w:t>
      </w:r>
      <w:r>
        <w:t xml:space="preserve"> </w:t>
      </w:r>
      <w:r w:rsidRPr="007D7279">
        <w:t>dernière filtration a été introduite est enregistrée comme la température d</w:t>
      </w:r>
      <w:r>
        <w:t>u</w:t>
      </w:r>
      <w:r w:rsidRPr="007D7279">
        <w:t xml:space="preserve"> point de la filtrabilité</w:t>
      </w:r>
      <w:r w:rsidRPr="007D7279">
        <w:rPr>
          <w:rFonts w:asciiTheme="majorBidi" w:hAnsiTheme="majorBidi" w:cstheme="majorBidi"/>
        </w:rPr>
        <w:t xml:space="preserve"> CFPP (Cold Filter Plugging Point)</w:t>
      </w:r>
      <w:r w:rsidRPr="007D7279">
        <w:t xml:space="preserve">. </w:t>
      </w:r>
      <w:r w:rsidR="00F531EB">
        <w:t>Généralement</w:t>
      </w:r>
      <w:r w:rsidRPr="007D7279">
        <w:t xml:space="preserve">, </w:t>
      </w:r>
      <w:r>
        <w:t>dans les</w:t>
      </w:r>
      <w:r w:rsidRPr="007D7279">
        <w:t xml:space="preserve"> essais de débit à faible température (ASTM D-4539)</w:t>
      </w:r>
      <w:r>
        <w:t>,</w:t>
      </w:r>
      <w:r w:rsidRPr="007D7279">
        <w:t xml:space="preserve"> les résultats sont une indication du rendement à basse température, </w:t>
      </w:r>
      <w:r>
        <w:t xml:space="preserve">du </w:t>
      </w:r>
      <w:r w:rsidRPr="007D7279">
        <w:t xml:space="preserve">débit de carburant dans certains véhicules </w:t>
      </w:r>
      <w:r>
        <w:t>D</w:t>
      </w:r>
      <w:r w:rsidRPr="007D7279">
        <w:t xml:space="preserve">iesel. Cette méthode d'essai est particulièrement utile pour l'évaluation </w:t>
      </w:r>
      <w:r w:rsidRPr="007D7279">
        <w:lastRenderedPageBreak/>
        <w:t xml:space="preserve">des carburants contenant des additifs améliorant l'écoulement. Dans cette méthode d'essai, la température d'une série d'échantillons d'essai de carburant est abaissée à une vitesse de refroidissement prescrit. A la température à compter et à chaque intervalle de 1 ° C par la suite, un taux de la série est filtré à travers un filtrant de </w:t>
      </w:r>
      <w:smartTag w:uri="urn:schemas-microsoft-com:office:smarttags" w:element="metricconverter">
        <w:smartTagPr>
          <w:attr w:name="ProductID" w:val="17 mm"/>
        </w:smartTagPr>
        <w:r w:rsidRPr="007D7279">
          <w:t>17 mm</w:t>
        </w:r>
      </w:smartTag>
      <w:r w:rsidRPr="007D7279">
        <w:t xml:space="preserve"> jusqu'à ce qu'un minimum à basse température, température de l'essai de débit de passage soit obtenu. Le minimum à faible débit de température d'essai de passage est la plus faible température, exprimée en multiple de 1° C, à laquelle un spécifique essai peut être filtré en 60 secondes ou moins. </w:t>
      </w:r>
      <w:r w:rsidRPr="00C96A2F">
        <w:rPr>
          <w:rFonts w:asciiTheme="majorBidi" w:hAnsiTheme="majorBidi" w:cstheme="majorBidi"/>
        </w:rPr>
        <w:t>[1</w:t>
      </w:r>
      <w:r>
        <w:rPr>
          <w:rFonts w:asciiTheme="majorBidi" w:hAnsiTheme="majorBidi" w:cstheme="majorBidi"/>
        </w:rPr>
        <w:t>,12</w:t>
      </w:r>
      <w:r w:rsidRPr="00C96A2F">
        <w:rPr>
          <w:rFonts w:asciiTheme="majorBidi" w:hAnsiTheme="majorBidi" w:cstheme="majorBidi"/>
        </w:rPr>
        <w:t>]</w:t>
      </w:r>
    </w:p>
    <w:p w:rsidR="00656AC8" w:rsidRPr="007D7279" w:rsidRDefault="00656AC8" w:rsidP="00F80F9A">
      <w:pPr>
        <w:spacing w:line="360" w:lineRule="auto"/>
        <w:jc w:val="both"/>
      </w:pPr>
      <w:r w:rsidRPr="007D7279">
        <w:t xml:space="preserve">Dans un autre test (ASTM D-2068), qui a été initialement conçu pour </w:t>
      </w:r>
      <w:r>
        <w:t xml:space="preserve">le </w:t>
      </w:r>
      <w:r w:rsidRPr="007D7279">
        <w:t xml:space="preserve">distillat </w:t>
      </w:r>
      <w:r>
        <w:t xml:space="preserve">du </w:t>
      </w:r>
      <w:r w:rsidRPr="007D7279">
        <w:t xml:space="preserve">mazout, le colmatage du filtre </w:t>
      </w:r>
      <w:r>
        <w:t xml:space="preserve">à </w:t>
      </w:r>
      <w:r w:rsidRPr="007D7279">
        <w:t xml:space="preserve">tendance du carburant </w:t>
      </w:r>
      <w:r>
        <w:t>D</w:t>
      </w:r>
      <w:r w:rsidRPr="007D7279">
        <w:t>iesel ne permet pas être déterminé en faisant passer un échantillon à un débit constant (20 ml / min) grâce à un support en fibre de verre filtrant. La baisse de pression à</w:t>
      </w:r>
      <w:r>
        <w:t xml:space="preserve"> travers le filtre est </w:t>
      </w:r>
      <w:r w:rsidR="00B052D4">
        <w:t>contrôlée</w:t>
      </w:r>
      <w:r w:rsidRPr="007D7279">
        <w:t xml:space="preserve"> lors du passage d'un volume fixe de carburant d'essai. Si une baisse de la pression maximale prescrite est atteinte avant le volume total de carburant filtré, le volume réel du carburant filtré au moment de la chute de pression maximale est enregistré. L'appareil doit être calibré à intervalles réguliers. </w:t>
      </w:r>
      <w:r w:rsidRPr="00C96A2F">
        <w:rPr>
          <w:rFonts w:asciiTheme="majorBidi" w:hAnsiTheme="majorBidi" w:cstheme="majorBidi"/>
        </w:rPr>
        <w:t>[1</w:t>
      </w:r>
      <w:r>
        <w:rPr>
          <w:rFonts w:asciiTheme="majorBidi" w:hAnsiTheme="majorBidi" w:cstheme="majorBidi"/>
        </w:rPr>
        <w:t>,12</w:t>
      </w:r>
      <w:r w:rsidRPr="00C96A2F">
        <w:rPr>
          <w:rFonts w:asciiTheme="majorBidi" w:hAnsiTheme="majorBidi" w:cstheme="majorBidi"/>
        </w:rPr>
        <w:t>]</w:t>
      </w:r>
    </w:p>
    <w:p w:rsidR="00656AC8" w:rsidRPr="00B052D4" w:rsidRDefault="00656AC8" w:rsidP="00F80F9A">
      <w:pPr>
        <w:autoSpaceDE w:val="0"/>
        <w:autoSpaceDN w:val="0"/>
        <w:adjustRightInd w:val="0"/>
        <w:spacing w:line="360" w:lineRule="auto"/>
        <w:jc w:val="both"/>
        <w:rPr>
          <w:rFonts w:ascii="Helvetica" w:hAnsi="Helvetica" w:cs="Helvetica"/>
        </w:rPr>
      </w:pPr>
      <w:r w:rsidRPr="00B052D4">
        <w:t xml:space="preserve">La </w:t>
      </w:r>
      <w:r w:rsidRPr="00B052D4">
        <w:rPr>
          <w:rStyle w:val="shorttext1"/>
          <w:rFonts w:asciiTheme="majorBidi" w:hAnsiTheme="majorBidi" w:cstheme="majorBidi"/>
          <w:sz w:val="24"/>
          <w:szCs w:val="24"/>
        </w:rPr>
        <w:t xml:space="preserve">Température limite de filtrabilité du gasoil est de 0°C à -20°C suivant les normes </w:t>
      </w:r>
      <w:r w:rsidRPr="00B052D4">
        <w:rPr>
          <w:rFonts w:asciiTheme="majorBidi" w:hAnsiTheme="majorBidi" w:cstheme="majorBidi"/>
        </w:rPr>
        <w:t>ASTM D 6371, IP 309,  EN 116.</w:t>
      </w:r>
    </w:p>
    <w:p w:rsidR="00656AC8" w:rsidRPr="00F531EB" w:rsidRDefault="00656AC8" w:rsidP="00F80F9A">
      <w:pPr>
        <w:spacing w:line="360" w:lineRule="auto"/>
        <w:jc w:val="both"/>
        <w:rPr>
          <w:b/>
          <w:bCs/>
        </w:rPr>
      </w:pPr>
      <w:r w:rsidRPr="00F531EB">
        <w:rPr>
          <w:b/>
          <w:bCs/>
        </w:rPr>
        <w:t xml:space="preserve">I.2.13. Nombre de neutralisation : </w:t>
      </w:r>
    </w:p>
    <w:p w:rsidR="00656AC8" w:rsidRPr="007D7279" w:rsidRDefault="00656AC8" w:rsidP="00F80F9A">
      <w:pPr>
        <w:spacing w:line="360" w:lineRule="auto"/>
        <w:jc w:val="both"/>
      </w:pPr>
      <w:r>
        <w:t>L’</w:t>
      </w:r>
      <w:r w:rsidR="00CB5746" w:rsidRPr="007D7279">
        <w:t>indice</w:t>
      </w:r>
      <w:r w:rsidRPr="007D7279">
        <w:t xml:space="preserve"> de neutralisation (ASTM D-974, IP 139 IP 182) est une mesure de l'acidité minérale et totale du carburant non utilisé et indique sa tendance à corroder les métaux avec lesquels elle </w:t>
      </w:r>
      <w:r>
        <w:t xml:space="preserve">se </w:t>
      </w:r>
      <w:r w:rsidRPr="007D7279">
        <w:t>met en contact. La corrosivité est également déterminée par une variété de métho</w:t>
      </w:r>
      <w:r>
        <w:t>des de corrosion du cuivre testé</w:t>
      </w:r>
      <w:r w:rsidRPr="007D7279">
        <w:t xml:space="preserve"> (ASTM D-130, ASTM D-849, IP 154). </w:t>
      </w:r>
      <w:r w:rsidRPr="00C96A2F">
        <w:rPr>
          <w:rFonts w:asciiTheme="majorBidi" w:hAnsiTheme="majorBidi" w:cstheme="majorBidi"/>
        </w:rPr>
        <w:t>[1</w:t>
      </w:r>
      <w:r>
        <w:rPr>
          <w:rFonts w:asciiTheme="majorBidi" w:hAnsiTheme="majorBidi" w:cstheme="majorBidi"/>
        </w:rPr>
        <w:t>,12</w:t>
      </w:r>
      <w:r w:rsidRPr="00C96A2F">
        <w:rPr>
          <w:rFonts w:asciiTheme="majorBidi" w:hAnsiTheme="majorBidi" w:cstheme="majorBidi"/>
        </w:rPr>
        <w:t>]</w:t>
      </w:r>
    </w:p>
    <w:p w:rsidR="00656AC8" w:rsidRPr="001F7B46" w:rsidRDefault="00656AC8" w:rsidP="00F80F9A">
      <w:pPr>
        <w:spacing w:line="360" w:lineRule="auto"/>
        <w:jc w:val="both"/>
        <w:rPr>
          <w:rFonts w:ascii="Helvetica" w:hAnsi="Helvetica" w:cs="Helvetica"/>
          <w:sz w:val="16"/>
          <w:szCs w:val="16"/>
        </w:rPr>
      </w:pPr>
      <w:r w:rsidRPr="007D7279">
        <w:rPr>
          <w:rFonts w:asciiTheme="majorBidi" w:hAnsiTheme="majorBidi" w:cstheme="majorBidi"/>
        </w:rPr>
        <w:t xml:space="preserve">L'indice de neutralisation du gasoil doit être inférieur ou égal à 3 mg de potasse par 100 </w:t>
      </w:r>
      <w:r>
        <w:rPr>
          <w:rFonts w:asciiTheme="majorBidi" w:hAnsiTheme="majorBidi" w:cstheme="majorBidi"/>
        </w:rPr>
        <w:t>cm</w:t>
      </w:r>
      <w:r w:rsidRPr="007C352F">
        <w:rPr>
          <w:rFonts w:asciiTheme="majorBidi" w:hAnsiTheme="majorBidi" w:cstheme="majorBidi"/>
          <w:vertAlign w:val="superscript"/>
        </w:rPr>
        <w:t xml:space="preserve">3 </w:t>
      </w:r>
      <w:r w:rsidRPr="007D7279">
        <w:rPr>
          <w:rFonts w:asciiTheme="majorBidi" w:hAnsiTheme="majorBidi" w:cstheme="majorBidi"/>
        </w:rPr>
        <w:t xml:space="preserve">suivant les normes </w:t>
      </w:r>
      <w:r w:rsidRPr="007D7279">
        <w:t>ASTM D-974, IP 139</w:t>
      </w:r>
      <w:r w:rsidRPr="007D7279">
        <w:rPr>
          <w:rFonts w:asciiTheme="majorBidi" w:hAnsiTheme="majorBidi" w:cstheme="majorBidi"/>
        </w:rPr>
        <w:t> ; et pour la corrosion,  le gasoil doit donner un essai de corrosion négatif à la lame de cuivre (échelle 1b) suivant les normes ASTM D 130 EN ISO 2160.</w:t>
      </w:r>
    </w:p>
    <w:p w:rsidR="00656AC8" w:rsidRPr="00F531EB" w:rsidRDefault="00656AC8" w:rsidP="00F80F9A">
      <w:pPr>
        <w:spacing w:line="360" w:lineRule="auto"/>
        <w:jc w:val="both"/>
        <w:rPr>
          <w:b/>
          <w:bCs/>
        </w:rPr>
      </w:pPr>
      <w:r w:rsidRPr="00F531EB">
        <w:rPr>
          <w:b/>
          <w:bCs/>
        </w:rPr>
        <w:t>I.2.14. Point d’écoulement (</w:t>
      </w:r>
      <w:r w:rsidRPr="00F531EB">
        <w:rPr>
          <w:rFonts w:asciiTheme="majorBidi" w:hAnsiTheme="majorBidi" w:cstheme="majorBidi"/>
          <w:b/>
          <w:bCs/>
        </w:rPr>
        <w:t>pour point) :</w:t>
      </w:r>
    </w:p>
    <w:p w:rsidR="00656AC8" w:rsidRPr="007D7279" w:rsidRDefault="00656AC8" w:rsidP="00F80F9A">
      <w:pPr>
        <w:spacing w:line="360" w:lineRule="auto"/>
        <w:jc w:val="both"/>
      </w:pPr>
      <w:r w:rsidRPr="007D7279">
        <w:t xml:space="preserve">Le point d'écoulement (ASTM D-97, IP 15) d'un combustible est une indication de la température la plus basse à laquelle le carburant peut </w:t>
      </w:r>
      <w:r>
        <w:t>s’écouler</w:t>
      </w:r>
      <w:r w:rsidRPr="007D7279">
        <w:t xml:space="preserve">. Le point d'écoulement se produit souvent </w:t>
      </w:r>
      <w:r>
        <w:t>entre 8-10 °</w:t>
      </w:r>
      <w:r w:rsidRPr="007D7279">
        <w:t>C en dessous du point de trouble</w:t>
      </w:r>
      <w:r>
        <w:t>, et les différences de 15-20 °</w:t>
      </w:r>
      <w:r w:rsidRPr="007D7279">
        <w:t>F ne sont pas rares. Le gasoil est en particulier l'un des carburants qui contiennent de la cire,</w:t>
      </w:r>
      <w:r>
        <w:t xml:space="preserve"> et</w:t>
      </w:r>
      <w:r w:rsidRPr="007D7279">
        <w:t xml:space="preserve"> sera dans certains cas en dessous de leur débit testé point d'écoulement. Toutefois, le point d'écoulement donne un guide utile à la température minimale à laquelle un carburant peut être refroidi sans réglage. </w:t>
      </w:r>
    </w:p>
    <w:p w:rsidR="00656AC8" w:rsidRPr="007D7279" w:rsidRDefault="00656AC8" w:rsidP="00F80F9A">
      <w:pPr>
        <w:spacing w:line="360" w:lineRule="auto"/>
        <w:jc w:val="both"/>
      </w:pPr>
      <w:r w:rsidRPr="007D7279">
        <w:lastRenderedPageBreak/>
        <w:t xml:space="preserve">Le point d'écoulement est utilisé en particularité d'autres mesures du comportement d'écoulement à froid et les données sont particulièrement utiles pour le filtrage de l'effet des modes d'interaction de cire sur le comportement des flux de pétrole. Dans l'original (et est encore largement utilisé) d'essai pour le point d'écoulement (ASTM D-97, IP 15), un échantillon est refroidi à une vitesse déterminée et examinées à des intervalles de </w:t>
      </w:r>
      <w:smartTag w:uri="urn:schemas-microsoft-com:office:smarttags" w:element="metricconverter">
        <w:smartTagPr>
          <w:attr w:name="ProductID" w:val="3 ﾰC"/>
        </w:smartTagPr>
        <w:r w:rsidRPr="007D7279">
          <w:t>3 °C</w:t>
        </w:r>
      </w:smartTag>
      <w:r w:rsidRPr="007D7279">
        <w:t xml:space="preserve"> (</w:t>
      </w:r>
      <w:smartTag w:uri="urn:schemas-microsoft-com:office:smarttags" w:element="metricconverter">
        <w:smartTagPr>
          <w:attr w:name="ProductID" w:val="5,4 ﾰF"/>
        </w:smartTagPr>
        <w:r w:rsidRPr="007D7279">
          <w:t>5,4 °F</w:t>
        </w:r>
      </w:smartTag>
      <w:r w:rsidRPr="007D7279">
        <w:t xml:space="preserve">) pour les caractéristiques de l'écoulement. La plus basse température à laquelle le mouvement de l'huile est observé est inscrite comme point d'écoulement. </w:t>
      </w:r>
    </w:p>
    <w:p w:rsidR="00656AC8" w:rsidRPr="007D7279" w:rsidRDefault="00656AC8" w:rsidP="00F80F9A">
      <w:pPr>
        <w:spacing w:line="360" w:lineRule="auto"/>
        <w:jc w:val="both"/>
      </w:pPr>
      <w:r w:rsidRPr="007D7279">
        <w:t xml:space="preserve">Une méthode d'essai plus tard (ASTM D-5853) porte sur deux procédures de détermination du point d'écoulement des huiles brutes jusqu'à </w:t>
      </w:r>
      <w:smartTag w:uri="urn:schemas-microsoft-com:office:smarttags" w:element="metricconverter">
        <w:smartTagPr>
          <w:attr w:name="ProductID" w:val="-36 ﾰC"/>
        </w:smartTagPr>
        <w:r w:rsidRPr="007D7279">
          <w:t>-36 °C</w:t>
        </w:r>
      </w:smartTag>
      <w:r w:rsidRPr="007D7279">
        <w:t>. Une méthode permet de mesurer la durée maximale (en haut) du point d'écoulement. La seconde méthode mesure la plus faible (minimum) du point d'écoulement. Dans ces méthodes, l'éprouvette d'essai est refroidie (après le chauffage préliminaire)</w:t>
      </w:r>
      <w:r>
        <w:t xml:space="preserve"> à un taux spécifié et examinée</w:t>
      </w:r>
      <w:r w:rsidRPr="007D7279">
        <w:t xml:space="preserve"> à intervalles de </w:t>
      </w:r>
      <w:smartTag w:uri="urn:schemas-microsoft-com:office:smarttags" w:element="metricconverter">
        <w:smartTagPr>
          <w:attr w:name="ProductID" w:val="−㽰ヸ땬−Fż܈ט⇺᝸∜ࠀ⇺Ť܈neutralisationame⇰淸⇰ŭ܈'ure⇰Ũ܈ particulièrement素⇰緐⇰ő܈Alternativement蟀⇰衰⇰Ś܈'thodetŅ܈'essai陠⇰霠⇰韐⇰ŀ܈'mpératureŋ܈'mpérature⇰ƶ܈'rie鉘⇱錘⇱鏈⇱Ʊ܈'saiƾ܈'rant黨⇱ƹ܈'ltrant⇰ꯘ⇰겘⇰Ƥ܈-condese⇰Ư܈'saiƬ܈'ssageenƗ܈'rburanteƒ܈'rburant⇱Ɲ܈'cunƚ܈.tervalles⇱ƅ܈'surers.⇲ƀ܈-ceil⇲즠⇲Ƌ܈-74ƈ܈-TMn⇳ǳ܈.4.ힰ⇲⇲Ǿ܈'ǻ܈'⇲Ǹ܈'TMlementǣ܈-oulementt⇲Ǯ܈'rticulierǩ܈-n⇲ǖ܈-fférencesѨ⇳Ǒ܈'ragentǜ܈'sǙ܈'iséentǄ܈'nsdiǏ܈'utefoisnt⇳Ǌ܈'tementĵ܈'mportement⇳İ܈'ltraget⇳㟠⇳Ļ܈'uvemente⇳Ħ܈'lisé䛰⇳ġ܈'ilisétionĬ܈'nimum.ė܈-oulement⇳嶐⇳Ē܈'97ulement⇳ĝ܈'thode⇳毠⇳Ę܈'scrite⇳ă܈'ximaleentĎ܈-thodeent⇳ĉ܈'5853⇳臰⇳芠⇳荐⇳Ŵ܈'utesent⇳諨⇳ſ܈'terminationź܈'rouvettet.ť܈'thodesent⇵Š܈'ructuret.ū܈'uvemente⇵Ŗ܈'scritee⇵⇵ő܈'édireesŜ܈'scositét⇵Ň܈'raffinent⇵ł܈'entō܈-boratoire⇵ň܈'tulementƳ܈'intư܈'ifƽ܈'férieures⇶Ƹ܈'oubleuresƣ܈'ect.Ʈ܈.ecttƩ܈'sureté.Ɣ܈'ntactment⇶Ɵ܈'rƜ܈'eauƙ܈'stèmets䃈⇶Ƅ܈'lteon⇶Ə܈'sultenitéƊ܈-abilitén噈⇶ǵ܈'ésencere⇶ǰ܈-mbreée⇶ǻ܈"/>
        </w:smartTagPr>
        <w:r w:rsidRPr="007D7279">
          <w:t>3 °C</w:t>
        </w:r>
      </w:smartTag>
      <w:r w:rsidRPr="007D7279">
        <w:t xml:space="preserve"> (</w:t>
      </w:r>
      <w:smartTag w:uri="urn:schemas-microsoft-com:office:smarttags" w:element="metricconverter">
        <w:smartTagPr>
          <w:attr w:name="ProductID" w:val="5,4 ﾰF"/>
        </w:smartTagPr>
        <w:r w:rsidRPr="007D7279">
          <w:t>5,4 °F</w:t>
        </w:r>
      </w:smartTag>
      <w:r w:rsidRPr="007D7279">
        <w:t xml:space="preserve">) pour les caractéristiques de flux. Encore une fois, la température minimale à laquelle le mouvement de l'éprouvette est observé est inscrite comme point d'écoulement. </w:t>
      </w:r>
      <w:r w:rsidRPr="00C96A2F">
        <w:rPr>
          <w:rFonts w:asciiTheme="majorBidi" w:hAnsiTheme="majorBidi" w:cstheme="majorBidi"/>
        </w:rPr>
        <w:t>[1</w:t>
      </w:r>
      <w:r>
        <w:rPr>
          <w:rFonts w:asciiTheme="majorBidi" w:hAnsiTheme="majorBidi" w:cstheme="majorBidi"/>
        </w:rPr>
        <w:t>,12,13</w:t>
      </w:r>
      <w:r w:rsidRPr="00C96A2F">
        <w:rPr>
          <w:rFonts w:asciiTheme="majorBidi" w:hAnsiTheme="majorBidi" w:cstheme="majorBidi"/>
        </w:rPr>
        <w:t>]</w:t>
      </w:r>
    </w:p>
    <w:p w:rsidR="00656AC8" w:rsidRPr="007D7279" w:rsidRDefault="00656AC8" w:rsidP="00F80F9A">
      <w:pPr>
        <w:spacing w:line="360" w:lineRule="auto"/>
        <w:jc w:val="both"/>
      </w:pPr>
      <w:r w:rsidRPr="007D7279">
        <w:t>En tout état de détermination du point d'écoulement de pétrole qui contient de la cire produit un comportement</w:t>
      </w:r>
      <w:r>
        <w:t xml:space="preserve"> de</w:t>
      </w:r>
      <w:r w:rsidRPr="007D7279">
        <w:t xml:space="preserve"> débit irrégulier quand la cire commence à se séparer. Telle fraction pétrolière possède des relations de viscosité qui sont difficiles à </w:t>
      </w:r>
      <w:r>
        <w:t>utiliser</w:t>
      </w:r>
      <w:r w:rsidRPr="007D7279">
        <w:t xml:space="preserve"> à l'exploitation des pipelines. En outre, certaine cire pétrolière est sensible à un traitement thermique qui peut aussi affecter les caractéristiques de viscosité. Ce problème complexe limite la valeur de la viscosité et</w:t>
      </w:r>
      <w:r>
        <w:t xml:space="preserve"> du</w:t>
      </w:r>
      <w:r w:rsidRPr="007D7279">
        <w:t xml:space="preserve"> point d'écoulement. Toutefois, les tests de laboratoire (ASTM D-3245, IP 230) sont disponibles et donnent une estimation de la température minim</w:t>
      </w:r>
      <w:r>
        <w:t>ale</w:t>
      </w:r>
      <w:r w:rsidRPr="007D7279">
        <w:t xml:space="preserve"> de manipulation et la température minimale de stockage. </w:t>
      </w:r>
    </w:p>
    <w:p w:rsidR="00656AC8" w:rsidRPr="007D7279" w:rsidRDefault="00656AC8" w:rsidP="00F80F9A">
      <w:pPr>
        <w:spacing w:line="360" w:lineRule="auto"/>
        <w:jc w:val="both"/>
      </w:pPr>
      <w:r w:rsidRPr="007D7279">
        <w:t xml:space="preserve">Parfois, les additifs sont utilisés pour améliorer la fluidité à basse température des carburants </w:t>
      </w:r>
      <w:r>
        <w:t>D</w:t>
      </w:r>
      <w:r w:rsidRPr="007D7279">
        <w:t>iesel. Ces additifs travaillent généralement en modifiant les cristaux de paraffine afin qu'ils soient moins probables à former une structure rigide. Ainsi, bien qu'il n'y ait aucun changement du point de trouble, le point d'écoulement est abaissé. Malheureusement, l'amélioration des performances du moteur est inférieure à l'amélioration d</w:t>
      </w:r>
      <w:r>
        <w:t>u</w:t>
      </w:r>
      <w:r w:rsidRPr="007D7279">
        <w:t xml:space="preserve"> point d'écoulement. Par conséquent, les températures d</w:t>
      </w:r>
      <w:r>
        <w:t>u</w:t>
      </w:r>
      <w:r w:rsidRPr="007D7279">
        <w:t xml:space="preserve"> point de trouble et d'écoulement ne peuvent pas être utilisées pour indiquer le rendement du moteur avec précision. </w:t>
      </w:r>
      <w:r w:rsidRPr="00C96A2F">
        <w:rPr>
          <w:rFonts w:asciiTheme="majorBidi" w:hAnsiTheme="majorBidi" w:cstheme="majorBidi"/>
        </w:rPr>
        <w:t>[1</w:t>
      </w:r>
      <w:r>
        <w:rPr>
          <w:rFonts w:asciiTheme="majorBidi" w:hAnsiTheme="majorBidi" w:cstheme="majorBidi"/>
        </w:rPr>
        <w:t>,13</w:t>
      </w:r>
      <w:r w:rsidRPr="00C96A2F">
        <w:rPr>
          <w:rFonts w:asciiTheme="majorBidi" w:hAnsiTheme="majorBidi" w:cstheme="majorBidi"/>
        </w:rPr>
        <w:t>]</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 xml:space="preserve">Le point d’écoulement du gasoil est de -9 °C  </w:t>
      </w:r>
      <w:r>
        <w:rPr>
          <w:rFonts w:asciiTheme="majorBidi" w:hAnsiTheme="majorBidi" w:cstheme="majorBidi"/>
        </w:rPr>
        <w:t>m</w:t>
      </w:r>
      <w:r w:rsidRPr="007D7279">
        <w:rPr>
          <w:rFonts w:asciiTheme="majorBidi" w:hAnsiTheme="majorBidi" w:cstheme="majorBidi"/>
        </w:rPr>
        <w:t>aximum suivant les normes ASTM D 97, ISO.</w:t>
      </w:r>
    </w:p>
    <w:p w:rsidR="00656AC8" w:rsidRPr="00F531EB" w:rsidRDefault="00656AC8" w:rsidP="00F80F9A">
      <w:pPr>
        <w:spacing w:line="360" w:lineRule="auto"/>
        <w:jc w:val="both"/>
        <w:rPr>
          <w:b/>
          <w:bCs/>
        </w:rPr>
      </w:pPr>
      <w:r w:rsidRPr="00F531EB">
        <w:rPr>
          <w:b/>
          <w:bCs/>
        </w:rPr>
        <w:t>I.2.15. Stabilité :</w:t>
      </w:r>
    </w:p>
    <w:p w:rsidR="00656AC8" w:rsidRPr="007D7279" w:rsidRDefault="00656AC8" w:rsidP="00F80F9A">
      <w:pPr>
        <w:spacing w:line="360" w:lineRule="auto"/>
        <w:jc w:val="both"/>
      </w:pPr>
      <w:r w:rsidRPr="007D7279">
        <w:t xml:space="preserve">Dans les réservoirs, le carburant </w:t>
      </w:r>
      <w:r>
        <w:t>est mis</w:t>
      </w:r>
      <w:r w:rsidRPr="007D7279">
        <w:t xml:space="preserve"> en contact avec l'air et l'eau. Si le carburant comprend des éléments instables, qui sont le cas pour les carburants contenant des produits de craquage, le stockage, en présence d'air peut entraîner la formation de gommes et de sédiments. L'instabilité peut provoquer le blocage du filtre, la formation de dépôts dans la chambre de </w:t>
      </w:r>
      <w:r w:rsidRPr="007D7279">
        <w:lastRenderedPageBreak/>
        <w:t>combustion et</w:t>
      </w:r>
      <w:r>
        <w:t xml:space="preserve"> le</w:t>
      </w:r>
      <w:r w:rsidRPr="007D7279">
        <w:t xml:space="preserve"> </w:t>
      </w:r>
      <w:r>
        <w:t>blocage</w:t>
      </w:r>
      <w:r w:rsidRPr="007D7279">
        <w:t xml:space="preserve"> des composants du système d'injection avec collage qui en résulte et l'usure. </w:t>
      </w:r>
    </w:p>
    <w:p w:rsidR="00656AC8" w:rsidRPr="007D7279" w:rsidRDefault="00656AC8" w:rsidP="00F80F9A">
      <w:pPr>
        <w:spacing w:line="360" w:lineRule="auto"/>
        <w:jc w:val="both"/>
      </w:pPr>
      <w:r w:rsidRPr="007D7279">
        <w:t xml:space="preserve">Un test d'accélération de la stabilité (ASTM D-2274) est souvent appliqué aux carburants afin de mesurer leur stabilité. Un échantillon de carburant est chauffé pendant une période fixée à une température donnée, parfois en présence d'un métal catalyseur et la quantité de sédiments et de la gomme formée est considérée comme une mesure de la stabilité. </w:t>
      </w:r>
    </w:p>
    <w:p w:rsidR="00656AC8" w:rsidRPr="007D7279" w:rsidRDefault="00656AC8" w:rsidP="00F80F9A">
      <w:pPr>
        <w:spacing w:line="360" w:lineRule="auto"/>
        <w:jc w:val="both"/>
      </w:pPr>
      <w:r w:rsidRPr="007D7279">
        <w:t xml:space="preserve">En outre, la mesure de l'oxydation du gasoil est déterminée par mesure du nombre hydroperoxyde (ASTM D-6447) et le nombre de peroxyde (ASTM D-3703). La formation des peroxydes ainsi que d’autres composés contenants l'oxygène </w:t>
      </w:r>
      <w:r>
        <w:t xml:space="preserve">dans le gasoil </w:t>
      </w:r>
      <w:r w:rsidRPr="007D7279">
        <w:t xml:space="preserve">sont des indications de la quantité de constituants d'oxydants présents dans l'échantillon qui est déterminée par la mesure des composés qui oxydent l'iodure de potassium. </w:t>
      </w:r>
      <w:r w:rsidRPr="00C96A2F">
        <w:rPr>
          <w:rFonts w:asciiTheme="majorBidi" w:hAnsiTheme="majorBidi" w:cstheme="majorBidi"/>
        </w:rPr>
        <w:t>[1</w:t>
      </w:r>
      <w:r>
        <w:rPr>
          <w:rFonts w:asciiTheme="majorBidi" w:hAnsiTheme="majorBidi" w:cstheme="majorBidi"/>
        </w:rPr>
        <w:t>,14</w:t>
      </w:r>
      <w:r w:rsidRPr="00C96A2F">
        <w:rPr>
          <w:rFonts w:asciiTheme="majorBidi" w:hAnsiTheme="majorBidi" w:cstheme="majorBidi"/>
        </w:rPr>
        <w:t>]</w:t>
      </w:r>
    </w:p>
    <w:p w:rsidR="00656AC8" w:rsidRPr="007D7279" w:rsidRDefault="00656AC8" w:rsidP="00F80F9A">
      <w:pPr>
        <w:spacing w:line="360" w:lineRule="auto"/>
        <w:jc w:val="both"/>
      </w:pPr>
      <w:r w:rsidRPr="007D7279">
        <w:t>La détermination du nombre des hydroperoxydes est significative en raison de l'effet négatif des hydroperoxydes sur certains élastomères dans les systèmes de carburant. Cette méthode (ASTM D-6447) mesure les mêmes espèces</w:t>
      </w:r>
      <w:r>
        <w:t xml:space="preserve"> de</w:t>
      </w:r>
      <w:r w:rsidRPr="007D7279">
        <w:t xml:space="preserve"> peroxyde</w:t>
      </w:r>
      <w:r>
        <w:t>s</w:t>
      </w:r>
      <w:r w:rsidRPr="007D7279">
        <w:t>, les hydroperoxydes primaires dans le gasoil. Cette méthode de test n'utilise pas la substance appauvrissant la couche d'ozone 1,1,2-trichloro-1 ,2,2-trifluoroéthane (ASTM D - 3703) et est applicable à</w:t>
      </w:r>
      <w:r>
        <w:t xml:space="preserve"> tout insoluble</w:t>
      </w:r>
      <w:r w:rsidRPr="007D7279">
        <w:t xml:space="preserve"> dans l'eau, le liquide organique, en particulier d'essence, </w:t>
      </w:r>
      <w:r>
        <w:t>d</w:t>
      </w:r>
      <w:r w:rsidRPr="007D7279">
        <w:t xml:space="preserve">e kérosène et </w:t>
      </w:r>
      <w:r>
        <w:t>d</w:t>
      </w:r>
      <w:r w:rsidRPr="007D7279">
        <w:t xml:space="preserve">e gasoil. Dans cette méthode, une quantité d'échantillon est mise en contact avec de l'iodure de potassium aqueux (KI), en présence d'acide. Les hydroperoxydes présents sont réduites par l'iodure de potassium, libération une quantité équivalente d'iode, qui est quantifiée par analyse voltamétrique. </w:t>
      </w:r>
    </w:p>
    <w:p w:rsidR="00656AC8" w:rsidRPr="007D7279" w:rsidRDefault="00656AC8" w:rsidP="00F80F9A">
      <w:pPr>
        <w:spacing w:line="360" w:lineRule="auto"/>
        <w:jc w:val="both"/>
      </w:pPr>
      <w:r w:rsidRPr="007D7279">
        <w:t>La détermination du nombre de peroxyde de gasoil est importante en raison des effets adverses des peroxydes sur certains élastomères dans le système de carburant. Dans le test, l'échantillon est dissous (contrairement à la norme ASTM D-6447) dans le 1,1,2-trichloro-l ,2,2-trifluoroethane et est contacté dans une solution aqueuse d'iodure de potassium. Les peroxydes présents sont réduits par la suite de quoi l'iodure de potassium une quantité équivalente d'iode est libéré</w:t>
      </w:r>
      <w:r>
        <w:t>e</w:t>
      </w:r>
      <w:r w:rsidRPr="007D7279">
        <w:t xml:space="preserve"> qui est titré</w:t>
      </w:r>
      <w:r>
        <w:t>e</w:t>
      </w:r>
      <w:r w:rsidRPr="007D7279">
        <w:t xml:space="preserve"> avec une solution standard de thiosulfate de sodium et d'un indicateur à </w:t>
      </w:r>
      <w:r>
        <w:t>ajouter</w:t>
      </w:r>
      <w:r w:rsidRPr="007D7279">
        <w:t xml:space="preserve">. </w:t>
      </w:r>
      <w:r w:rsidRPr="00C96A2F">
        <w:rPr>
          <w:rFonts w:asciiTheme="majorBidi" w:hAnsiTheme="majorBidi" w:cstheme="majorBidi"/>
        </w:rPr>
        <w:t>[1</w:t>
      </w:r>
      <w:r>
        <w:rPr>
          <w:rFonts w:asciiTheme="majorBidi" w:hAnsiTheme="majorBidi" w:cstheme="majorBidi"/>
        </w:rPr>
        <w:t>,14</w:t>
      </w:r>
      <w:r w:rsidRPr="00C96A2F">
        <w:rPr>
          <w:rFonts w:asciiTheme="majorBidi" w:hAnsiTheme="majorBidi" w:cstheme="majorBidi"/>
        </w:rPr>
        <w:t>]</w:t>
      </w:r>
    </w:p>
    <w:p w:rsidR="00656AC8" w:rsidRPr="007D7279" w:rsidRDefault="00656AC8" w:rsidP="00F80F9A">
      <w:pPr>
        <w:spacing w:line="360" w:lineRule="auto"/>
        <w:jc w:val="both"/>
      </w:pPr>
      <w:r w:rsidRPr="007D7279">
        <w:t xml:space="preserve">D'autres tests de stabilité de stockage </w:t>
      </w:r>
      <w:r>
        <w:t xml:space="preserve">donnent </w:t>
      </w:r>
      <w:r w:rsidRPr="007D7279">
        <w:t xml:space="preserve"> la détermination de la formation de la couleur et des sédiments (ASTM D-4625, ASTM D-5304) dans lesquels la réactivité à l'oxygène à haute température est déterminée par</w:t>
      </w:r>
      <w:r>
        <w:t xml:space="preserve"> la quantité de sédiments formé</w:t>
      </w:r>
      <w:r w:rsidRPr="007D7279">
        <w:t xml:space="preserve">s ainsi que tout changement de couleur. </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Pour le gasoil</w:t>
      </w:r>
      <w:r>
        <w:rPr>
          <w:rFonts w:asciiTheme="majorBidi" w:hAnsiTheme="majorBidi" w:cstheme="majorBidi"/>
        </w:rPr>
        <w:t>,</w:t>
      </w:r>
      <w:r w:rsidRPr="007D7279">
        <w:rPr>
          <w:rFonts w:asciiTheme="majorBidi" w:hAnsiTheme="majorBidi" w:cstheme="majorBidi"/>
        </w:rPr>
        <w:t xml:space="preserve"> la stabilité à l’oxydation est maximum 25 g/m</w:t>
      </w:r>
      <w:r w:rsidRPr="007D7279">
        <w:rPr>
          <w:rFonts w:asciiTheme="majorBidi" w:hAnsiTheme="majorBidi" w:cstheme="majorBidi"/>
          <w:vertAlign w:val="superscript"/>
        </w:rPr>
        <w:t>3</w:t>
      </w:r>
      <w:r w:rsidRPr="007D7279">
        <w:rPr>
          <w:rFonts w:asciiTheme="majorBidi" w:hAnsiTheme="majorBidi" w:cstheme="majorBidi"/>
        </w:rPr>
        <w:t>suivant les normes ASTM D 2274,  EN ISO 12205.</w:t>
      </w:r>
    </w:p>
    <w:p w:rsidR="00656AC8" w:rsidRDefault="00656AC8" w:rsidP="00F80F9A">
      <w:pPr>
        <w:spacing w:line="360" w:lineRule="auto"/>
        <w:jc w:val="both"/>
        <w:rPr>
          <w:u w:val="single"/>
        </w:rPr>
      </w:pPr>
    </w:p>
    <w:p w:rsidR="00656AC8" w:rsidRPr="00F531EB" w:rsidRDefault="00656AC8" w:rsidP="00F80F9A">
      <w:pPr>
        <w:spacing w:line="360" w:lineRule="auto"/>
        <w:jc w:val="both"/>
        <w:rPr>
          <w:b/>
          <w:bCs/>
        </w:rPr>
      </w:pPr>
      <w:r w:rsidRPr="00F531EB">
        <w:rPr>
          <w:b/>
          <w:bCs/>
        </w:rPr>
        <w:lastRenderedPageBreak/>
        <w:t xml:space="preserve">I.2.16. Viscosité </w:t>
      </w:r>
      <w:r w:rsidRPr="00F531EB">
        <w:rPr>
          <w:rFonts w:asciiTheme="majorBidi" w:hAnsiTheme="majorBidi" w:cstheme="majorBidi"/>
          <w:b/>
          <w:bCs/>
        </w:rPr>
        <w:t>(viscosity) :</w:t>
      </w:r>
    </w:p>
    <w:p w:rsidR="00656AC8" w:rsidRPr="007D7279" w:rsidRDefault="00656AC8" w:rsidP="00F80F9A">
      <w:pPr>
        <w:spacing w:line="360" w:lineRule="auto"/>
        <w:jc w:val="both"/>
      </w:pPr>
      <w:r>
        <w:t>La v</w:t>
      </w:r>
      <w:r w:rsidRPr="007D7279">
        <w:t>iscosité (ASTM D-445, IP 71) est une mesure de la résistance à l'écoulement d'un liquide et est généralement mesurée en enregistrant le temps nécessaire pour un volume donné de combustible à une température constante</w:t>
      </w:r>
      <w:r>
        <w:t>,</w:t>
      </w:r>
      <w:r w:rsidRPr="007D7279">
        <w:t xml:space="preserve"> </w:t>
      </w:r>
      <w:r>
        <w:t>s'écoule</w:t>
      </w:r>
      <w:r w:rsidRPr="007D7279">
        <w:t xml:space="preserve"> à travers un petit orifice de dimensions standard. La viscosité du </w:t>
      </w:r>
      <w:r>
        <w:t>gasoil</w:t>
      </w:r>
      <w:r w:rsidRPr="007D7279">
        <w:t xml:space="preserve"> est importante, surtout en raison de son effet sur la manipulation du combustible par la pompe et le système d'injection. </w:t>
      </w:r>
      <w:r w:rsidRPr="00C96A2F">
        <w:rPr>
          <w:rFonts w:asciiTheme="majorBidi" w:hAnsiTheme="majorBidi" w:cstheme="majorBidi"/>
        </w:rPr>
        <w:t>[1</w:t>
      </w:r>
      <w:r>
        <w:rPr>
          <w:rFonts w:asciiTheme="majorBidi" w:hAnsiTheme="majorBidi" w:cstheme="majorBidi"/>
        </w:rPr>
        <w:t>,15</w:t>
      </w:r>
      <w:r w:rsidRPr="00C96A2F">
        <w:rPr>
          <w:rFonts w:asciiTheme="majorBidi" w:hAnsiTheme="majorBidi" w:cstheme="majorBidi"/>
        </w:rPr>
        <w:t>]</w:t>
      </w:r>
    </w:p>
    <w:p w:rsidR="00656AC8" w:rsidRDefault="00656AC8" w:rsidP="00F80F9A">
      <w:pPr>
        <w:spacing w:line="360" w:lineRule="auto"/>
        <w:jc w:val="both"/>
      </w:pPr>
      <w:r w:rsidRPr="007D7279">
        <w:t>La viscosité de carburant exerce également une forte influence sur la forme de la pulvérisation du combustible dans la mesure où une viscosité élevée peut entraîner une atomisation pauvre,</w:t>
      </w:r>
      <w:r>
        <w:t xml:space="preserve"> de</w:t>
      </w:r>
      <w:r w:rsidRPr="007D7279">
        <w:t xml:space="preserve"> grandes gouttelettes et à haute pénétration pulvérisée. En conséquence, le combustible n'est pas distribué, ou mélangées avec l'air nécessaire pour brûler. Il résulte une mauvaise combustion, accompagné</w:t>
      </w:r>
      <w:r>
        <w:t>e</w:t>
      </w:r>
      <w:r w:rsidRPr="007D7279">
        <w:t xml:space="preserve"> de perte de puissance. En particulier dans les moteurs plus petits, le flux de pénétration trop de carburant peut affecter sur les parois du cylindre, de cette façon cause le lavage du film d'huile de graissage et donc </w:t>
      </w:r>
      <w:r>
        <w:t xml:space="preserve">la </w:t>
      </w:r>
      <w:r w:rsidRPr="007D7279">
        <w:t>dilution de l'huile. D'autre part, les combustibles à faible viscosité peuvent produire la poussière qui est trop donc la pénétration n'est pas suffisa</w:t>
      </w:r>
      <w:r>
        <w:t>nte</w:t>
      </w:r>
      <w:r w:rsidRPr="007D7279">
        <w:t>. La combustion est réduite, et la puissance</w:t>
      </w:r>
      <w:r>
        <w:t xml:space="preserve"> est diminuée. </w:t>
      </w:r>
    </w:p>
    <w:p w:rsidR="00656AC8" w:rsidRPr="007D7279" w:rsidRDefault="00656AC8" w:rsidP="00F80F9A">
      <w:pPr>
        <w:spacing w:line="360" w:lineRule="auto"/>
        <w:jc w:val="both"/>
      </w:pPr>
      <w:r w:rsidRPr="007D7279">
        <w:t>La viscosité d</w:t>
      </w:r>
      <w:r>
        <w:t>u</w:t>
      </w:r>
      <w:r w:rsidRPr="007D7279">
        <w:t xml:space="preserve"> carburant pour moteurs à haute vitesse varie de 2 cSt à 6 cSt </w:t>
      </w:r>
      <w:r>
        <w:t xml:space="preserve">et </w:t>
      </w:r>
      <w:r w:rsidRPr="007D7279">
        <w:t xml:space="preserve">à </w:t>
      </w:r>
      <w:smartTag w:uri="urn:schemas-microsoft-com:office:smarttags" w:element="metricconverter">
        <w:smartTagPr>
          <w:attr w:name="ProductID" w:val="37,8 ﾰC"/>
        </w:smartTagPr>
        <w:r w:rsidRPr="007D7279">
          <w:t>37,8 °C</w:t>
        </w:r>
      </w:smartTag>
      <w:r w:rsidRPr="007D7279">
        <w:t xml:space="preserve"> (</w:t>
      </w:r>
      <w:smartTag w:uri="urn:schemas-microsoft-com:office:smarttags" w:element="metricconverter">
        <w:smartTagPr>
          <w:attr w:name="ProductID" w:val="100 ﾰF"/>
        </w:smartTagPr>
        <w:r w:rsidRPr="007D7279">
          <w:t>100 °F</w:t>
        </w:r>
      </w:smartTag>
      <w:r w:rsidRPr="007D7279">
        <w:t xml:space="preserve">). Habituellement, la limite inférieure de viscosité est établie pour éviter les fuites dans les équipements d'injection de combustible usé, ainsi que de fournir de lubrification des composants du système d'injection de certains types de moteurs. Pendant le fonctionnement à la température atmosphérique basse, la limite de viscosité est parfois réduite à 4 cSt </w:t>
      </w:r>
      <w:r>
        <w:t xml:space="preserve">et </w:t>
      </w:r>
      <w:r w:rsidRPr="007D7279">
        <w:t xml:space="preserve">à </w:t>
      </w:r>
      <w:smartTag w:uri="urn:schemas-microsoft-com:office:smarttags" w:element="metricconverter">
        <w:smartTagPr>
          <w:attr w:name="ProductID" w:val="37,8 ﾰC"/>
        </w:smartTagPr>
        <w:r w:rsidRPr="007D7279">
          <w:t>100 °F</w:t>
        </w:r>
      </w:smartTag>
      <w:r w:rsidRPr="007D7279">
        <w:t xml:space="preserve"> pour obtenir une volatilité croissante et assez faible point d'écoulement. Le </w:t>
      </w:r>
      <w:r>
        <w:t>c</w:t>
      </w:r>
      <w:r w:rsidRPr="007D7279">
        <w:t>arburant ayant viscosités</w:t>
      </w:r>
      <w:r>
        <w:t xml:space="preserve"> de</w:t>
      </w:r>
      <w:r w:rsidRPr="007D7279">
        <w:t xml:space="preserve"> plus de 6 cSt est généralement limité dans leur application aux moteurs à vitesse plus lente. Les carburants très visqueux sont souvent utilisés dans les grands moteurs fixes et marins</w:t>
      </w:r>
      <w:r>
        <w:t>.</w:t>
      </w:r>
      <w:r w:rsidRPr="00805E5D">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,15</w:t>
      </w:r>
      <w:r w:rsidRPr="00C96A2F">
        <w:rPr>
          <w:rFonts w:asciiTheme="majorBidi" w:hAnsiTheme="majorBidi" w:cstheme="majorBidi"/>
        </w:rPr>
        <w:t>]</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Pour le gasoil, la viscosité cinématique est</w:t>
      </w:r>
      <w:r>
        <w:rPr>
          <w:rFonts w:asciiTheme="majorBidi" w:hAnsiTheme="majorBidi" w:cstheme="majorBidi"/>
        </w:rPr>
        <w:t xml:space="preserve"> de</w:t>
      </w:r>
      <w:r w:rsidRPr="007D7279">
        <w:rPr>
          <w:rFonts w:asciiTheme="majorBidi" w:hAnsiTheme="majorBidi" w:cstheme="majorBidi"/>
        </w:rPr>
        <w:t xml:space="preserve"> 2sct - 9 sct </w:t>
      </w:r>
      <w:r>
        <w:rPr>
          <w:rFonts w:asciiTheme="majorBidi" w:hAnsiTheme="majorBidi" w:cstheme="majorBidi"/>
        </w:rPr>
        <w:t xml:space="preserve">et </w:t>
      </w:r>
      <w:r w:rsidRPr="007D7279">
        <w:rPr>
          <w:rFonts w:asciiTheme="majorBidi" w:hAnsiTheme="majorBidi" w:cstheme="majorBidi"/>
        </w:rPr>
        <w:t>à 40 °C suivant les normes ASTM D 445, EN ISO 3104.</w:t>
      </w:r>
    </w:p>
    <w:p w:rsidR="00656AC8" w:rsidRPr="00F531EB" w:rsidRDefault="00656AC8" w:rsidP="00F80F9A">
      <w:pPr>
        <w:spacing w:line="360" w:lineRule="auto"/>
        <w:jc w:val="both"/>
        <w:rPr>
          <w:b/>
          <w:bCs/>
        </w:rPr>
      </w:pPr>
      <w:r w:rsidRPr="00F531EB">
        <w:rPr>
          <w:b/>
          <w:bCs/>
        </w:rPr>
        <w:t>I.2.17. Volatilité (volatility) :</w:t>
      </w:r>
    </w:p>
    <w:p w:rsidR="00656AC8" w:rsidRPr="007D7279" w:rsidRDefault="00656AC8" w:rsidP="00F80F9A">
      <w:pPr>
        <w:spacing w:line="360" w:lineRule="auto"/>
        <w:jc w:val="both"/>
      </w:pPr>
      <w:r w:rsidRPr="007D7279">
        <w:t>La volatilité d</w:t>
      </w:r>
      <w:r>
        <w:t>u</w:t>
      </w:r>
      <w:r w:rsidRPr="007D7279">
        <w:t xml:space="preserve"> gasoil exerce une grande influence sur ses performances, en particulier dans les moteurs à moyenne et grande vitesse. Les caractéristiques de distillation sont mesurées avec une procédure (ASTM D-86, IP 123) dans laquelle un échantillon du carburant est distillé et les températures de vapeur sont enregistrées dans les pourcentages de l'évaporation.</w:t>
      </w:r>
      <w:r w:rsidRPr="00805E5D">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,15,16</w:t>
      </w:r>
      <w:r w:rsidRPr="00C96A2F">
        <w:rPr>
          <w:rFonts w:asciiTheme="majorBidi" w:hAnsiTheme="majorBidi" w:cstheme="majorBidi"/>
        </w:rPr>
        <w:t>]</w:t>
      </w:r>
    </w:p>
    <w:p w:rsidR="00656AC8" w:rsidRPr="00586961" w:rsidRDefault="00656AC8" w:rsidP="00F80F9A">
      <w:pPr>
        <w:spacing w:line="360" w:lineRule="auto"/>
        <w:jc w:val="both"/>
        <w:rPr>
          <w:color w:val="FF0000"/>
        </w:rPr>
      </w:pPr>
      <w:r w:rsidRPr="007D7279">
        <w:t xml:space="preserve">L'exigence de la volatilité du </w:t>
      </w:r>
      <w:r>
        <w:t>gasoil</w:t>
      </w:r>
      <w:r w:rsidRPr="007D7279">
        <w:t xml:space="preserve"> varie avec la vitesse du moteur, la taille et le design. Toutefois, les carburants ayant une volatilité trop faible ont tendance à réduire la puissance et l'économie de carburant par atomisation</w:t>
      </w:r>
      <w:r>
        <w:t>s</w:t>
      </w:r>
      <w:r w:rsidRPr="007D7279">
        <w:t xml:space="preserve"> pauvres et celles ayant une volatilité trop élevée </w:t>
      </w:r>
      <w:r w:rsidRPr="007D7279">
        <w:lastRenderedPageBreak/>
        <w:t>peuvent réduire la puissance et l</w:t>
      </w:r>
      <w:r>
        <w:t>a quantité</w:t>
      </w:r>
      <w:r w:rsidRPr="007D7279">
        <w:t xml:space="preserve"> d</w:t>
      </w:r>
      <w:r>
        <w:t>u</w:t>
      </w:r>
      <w:r w:rsidRPr="007D7279">
        <w:t xml:space="preserve"> carburant grâce à</w:t>
      </w:r>
      <w:r>
        <w:t xml:space="preserve"> la</w:t>
      </w:r>
      <w:r w:rsidRPr="007D7279">
        <w:t xml:space="preserve"> pression de vapeur dans le circuit carburant o</w:t>
      </w:r>
      <w:r>
        <w:t>ù</w:t>
      </w:r>
      <w:r w:rsidRPr="007D7279">
        <w:t xml:space="preserve"> la pénétration insuffisante des gouttelettes du carburant. En général, l'intervalle de distillation doit être aussi faible que possible sans grande influence sur le point d'éclair, la qualité de la combustion, la chaleur, et la viscosité du combustible. Si le point à 10% est trop élevé</w:t>
      </w:r>
      <w:r>
        <w:t xml:space="preserve"> résulte le</w:t>
      </w:r>
      <w:r w:rsidRPr="007D7279">
        <w:t xml:space="preserve"> démarrage</w:t>
      </w:r>
      <w:r>
        <w:t xml:space="preserve"> </w:t>
      </w:r>
      <w:r w:rsidRPr="007D7279">
        <w:t>faible. Une trop grande diversité d'ébullition de 10% à 50% évaporé</w:t>
      </w:r>
      <w:r>
        <w:t>e</w:t>
      </w:r>
      <w:r w:rsidRPr="007D7279">
        <w:t xml:space="preserve"> provoque l'augmentation du temps de préchauffage. Un point élevé de 50% est souhaitable dans la </w:t>
      </w:r>
      <w:r>
        <w:t>diminution</w:t>
      </w:r>
      <w:r w:rsidRPr="007D7279">
        <w:t xml:space="preserve"> de la fumée et l'odeur.</w:t>
      </w:r>
      <w:r w:rsidRPr="00515B3E">
        <w:t xml:space="preserve"> Après le point 90% provoque un faible  résidu de carbone et la dilution minimale.</w:t>
      </w:r>
      <w:r w:rsidRPr="00586961">
        <w:rPr>
          <w:color w:val="FF0000"/>
        </w:rPr>
        <w:t xml:space="preserve"> </w:t>
      </w:r>
    </w:p>
    <w:p w:rsidR="00656AC8" w:rsidRPr="007D7279" w:rsidRDefault="00656AC8" w:rsidP="00F80F9A">
      <w:pPr>
        <w:spacing w:line="360" w:lineRule="auto"/>
        <w:jc w:val="both"/>
      </w:pPr>
      <w:r w:rsidRPr="007D7279">
        <w:t xml:space="preserve">La température de 50% évaporé, connu comme le point à demi-ébullition, est généralement considéré comme une indication globale de la caractéristique de carburant de distillation où une seule valeur numérique est utilisée seul. Par exemple, dans les moteurs à haut débit, d'un point situé à 50% au-dessus </w:t>
      </w:r>
      <w:smartTag w:uri="urn:schemas-microsoft-com:office:smarttags" w:element="metricconverter">
        <w:smartTagPr>
          <w:attr w:name="ProductID" w:val="575 ﾰF"/>
        </w:smartTagPr>
        <w:r w:rsidRPr="007D7279">
          <w:t>575 °F</w:t>
        </w:r>
      </w:smartTag>
      <w:r w:rsidRPr="007D7279">
        <w:t xml:space="preserve"> (</w:t>
      </w:r>
      <w:smartTag w:uri="urn:schemas-microsoft-com:office:smarttags" w:element="metricconverter">
        <w:smartTagPr>
          <w:attr w:name="ProductID" w:val="302 ﾰC"/>
        </w:smartTagPr>
        <w:r w:rsidRPr="007D7279">
          <w:t>302 °C</w:t>
        </w:r>
      </w:smartTag>
      <w:r w:rsidRPr="007D7279">
        <w:t>) serait probablement causé</w:t>
      </w:r>
      <w:r>
        <w:t xml:space="preserve"> par</w:t>
      </w:r>
      <w:r w:rsidRPr="007D7279">
        <w:t xml:space="preserve"> la formation de fumée,</w:t>
      </w:r>
      <w:r>
        <w:t xml:space="preserve"> et</w:t>
      </w:r>
      <w:r w:rsidRPr="007D7279">
        <w:t xml:space="preserve"> donner lieu à odeur désagréable, la cause de lubrification du pétrole, et de former</w:t>
      </w:r>
      <w:r>
        <w:t xml:space="preserve"> des</w:t>
      </w:r>
      <w:r w:rsidRPr="007D7279">
        <w:t xml:space="preserve"> dépôts dans le moteur. À l'autre extrême, un carburant excessif à bas de 50% aurait une trop faible viscosité et une trop faible teneur calorifique par unité de volume. Ainsi, un point situé à 50% dans l'intervalle de 450-</w:t>
      </w:r>
      <w:smartTag w:uri="urn:schemas-microsoft-com:office:smarttags" w:element="metricconverter">
        <w:smartTagPr>
          <w:attr w:name="ProductID" w:val="535 F"/>
        </w:smartTagPr>
        <w:r w:rsidRPr="007D7279">
          <w:t>535 F</w:t>
        </w:r>
      </w:smartTag>
      <w:r w:rsidRPr="007D7279">
        <w:t xml:space="preserve"> (232-</w:t>
      </w:r>
      <w:smartTag w:uri="urn:schemas-microsoft-com:office:smarttags" w:element="metricconverter">
        <w:smartTagPr>
          <w:attr w:name="ProductID" w:val="280 ﾰC"/>
        </w:smartTagPr>
        <w:r w:rsidRPr="007D7279">
          <w:t>280 °C</w:t>
        </w:r>
      </w:smartTag>
      <w:r w:rsidRPr="007D7279">
        <w:t xml:space="preserve">) est le plus souhaitable pour la majorité des moteurs d'automobiles de type </w:t>
      </w:r>
      <w:r>
        <w:t>D</w:t>
      </w:r>
      <w:r w:rsidRPr="007D7279">
        <w:t xml:space="preserve">iesel. Cette gamme moyenne est généralement portée à une température plus élevée pour les moteurs à vitesse plus lente. </w:t>
      </w:r>
      <w:r w:rsidRPr="00C96A2F">
        <w:rPr>
          <w:rFonts w:asciiTheme="majorBidi" w:hAnsiTheme="majorBidi" w:cstheme="majorBidi"/>
        </w:rPr>
        <w:t>[1</w:t>
      </w:r>
      <w:r>
        <w:rPr>
          <w:rFonts w:asciiTheme="majorBidi" w:hAnsiTheme="majorBidi" w:cstheme="majorBidi"/>
        </w:rPr>
        <w:t>,16</w:t>
      </w:r>
      <w:r w:rsidRPr="00C96A2F">
        <w:rPr>
          <w:rFonts w:asciiTheme="majorBidi" w:hAnsiTheme="majorBidi" w:cstheme="majorBidi"/>
        </w:rPr>
        <w:t>]</w:t>
      </w:r>
    </w:p>
    <w:p w:rsidR="00656AC8" w:rsidRPr="007D7279" w:rsidRDefault="00656AC8" w:rsidP="00F80F9A">
      <w:pPr>
        <w:spacing w:line="360" w:lineRule="auto"/>
        <w:jc w:val="both"/>
      </w:pPr>
      <w:r w:rsidRPr="007D7279">
        <w:t xml:space="preserve">La pression de vapeur </w:t>
      </w:r>
      <w:r>
        <w:t>du gasoil</w:t>
      </w:r>
      <w:r w:rsidRPr="007D7279">
        <w:t xml:space="preserve"> à différentes proportions vapeur-liquide est une propriété physique importante pour le transport, le stockage et l'utilisation. La détermination de la volatilité du </w:t>
      </w:r>
      <w:r>
        <w:t>gasoil</w:t>
      </w:r>
      <w:r w:rsidRPr="007D7279">
        <w:t xml:space="preserve"> est généralement effectué</w:t>
      </w:r>
      <w:r>
        <w:t>e</w:t>
      </w:r>
      <w:r w:rsidRPr="007D7279">
        <w:t xml:space="preserve"> par une distribution d'ébullition (ASTM D-86, IP 123), détermination de la pression de vapeur Reid (ASTM D-323, IP 69) peut également être utilisé</w:t>
      </w:r>
      <w:r>
        <w:t>e</w:t>
      </w:r>
      <w:r w:rsidRPr="007D7279">
        <w:t xml:space="preserve"> avec d’autres méthodes (ASTM D-5190, ASTM D-5482, ASTM D-6378).</w:t>
      </w:r>
      <w:r w:rsidRPr="00805E5D">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,16</w:t>
      </w:r>
      <w:r w:rsidRPr="00C96A2F">
        <w:rPr>
          <w:rFonts w:asciiTheme="majorBidi" w:hAnsiTheme="majorBidi" w:cstheme="majorBidi"/>
        </w:rPr>
        <w:t>]</w:t>
      </w:r>
      <w:r w:rsidRPr="007D7279">
        <w:t xml:space="preserve"> </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 xml:space="preserve">L’essai de distillation du gasoil suivant les normes </w:t>
      </w:r>
      <w:r w:rsidRPr="007D7279">
        <w:t xml:space="preserve">ASTM D-86 </w:t>
      </w:r>
      <w:r w:rsidRPr="007D7279">
        <w:rPr>
          <w:rFonts w:asciiTheme="majorBidi" w:hAnsiTheme="majorBidi" w:cstheme="majorBidi"/>
        </w:rPr>
        <w:t xml:space="preserve"> doit permettre de recueillir les volumes ci-après de distilla</w:t>
      </w:r>
      <w:r>
        <w:rPr>
          <w:rFonts w:asciiTheme="majorBidi" w:hAnsiTheme="majorBidi" w:cstheme="majorBidi"/>
        </w:rPr>
        <w:t>t</w:t>
      </w:r>
      <w:r w:rsidRPr="007D7279">
        <w:rPr>
          <w:rFonts w:asciiTheme="majorBidi" w:hAnsiTheme="majorBidi" w:cstheme="majorBidi"/>
        </w:rPr>
        <w:t>s, y compris les pertes :</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65 % vol à 250°C mini.</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90 % suivant la provenance 357°C/ 362°C.</w:t>
      </w:r>
    </w:p>
    <w:p w:rsidR="00656AC8" w:rsidRPr="007D7279" w:rsidRDefault="00656AC8" w:rsidP="00F80F9A">
      <w:pPr>
        <w:spacing w:line="360" w:lineRule="auto"/>
        <w:jc w:val="both"/>
        <w:rPr>
          <w:rFonts w:asciiTheme="majorBidi" w:hAnsiTheme="majorBidi" w:cstheme="majorBidi"/>
        </w:rPr>
      </w:pPr>
      <w:r>
        <w:rPr>
          <w:rFonts w:asciiTheme="majorBidi" w:hAnsiTheme="majorBidi" w:cstheme="majorBidi"/>
        </w:rPr>
        <w:t>Point final à 385°C max</w:t>
      </w:r>
      <w:r w:rsidRPr="007D7279">
        <w:rPr>
          <w:rFonts w:asciiTheme="majorBidi" w:hAnsiTheme="majorBidi" w:cstheme="majorBidi"/>
        </w:rPr>
        <w:t>.</w:t>
      </w:r>
    </w:p>
    <w:p w:rsidR="00656AC8" w:rsidRPr="00F531EB" w:rsidRDefault="00656AC8" w:rsidP="00F80F9A">
      <w:pPr>
        <w:spacing w:line="360" w:lineRule="auto"/>
        <w:jc w:val="both"/>
        <w:rPr>
          <w:b/>
          <w:bCs/>
        </w:rPr>
      </w:pPr>
      <w:r w:rsidRPr="00F531EB">
        <w:rPr>
          <w:b/>
          <w:bCs/>
        </w:rPr>
        <w:t>I.2.18. L'eau et les sédiments :</w:t>
      </w:r>
    </w:p>
    <w:p w:rsidR="00E6403E" w:rsidRDefault="00656AC8" w:rsidP="00F80F9A">
      <w:pPr>
        <w:spacing w:line="360" w:lineRule="auto"/>
        <w:jc w:val="both"/>
      </w:pPr>
      <w:r w:rsidRPr="007D7279">
        <w:t xml:space="preserve">L'eau peut contribuer </w:t>
      </w:r>
      <w:r>
        <w:t>au</w:t>
      </w:r>
      <w:r w:rsidRPr="007D7279">
        <w:t xml:space="preserve"> blocage </w:t>
      </w:r>
      <w:r>
        <w:t xml:space="preserve">du </w:t>
      </w:r>
      <w:r w:rsidRPr="007D7279">
        <w:t>filtre et de provoquer une corrosion des composants d</w:t>
      </w:r>
      <w:r>
        <w:t>u</w:t>
      </w:r>
      <w:r w:rsidRPr="007D7279">
        <w:t xml:space="preserve"> système d'injection. De plus l'encrassement des filtres, les sédiments peuvent causer </w:t>
      </w:r>
      <w:r>
        <w:t>le blocage du filtre</w:t>
      </w:r>
      <w:r w:rsidRPr="007D7279">
        <w:t xml:space="preserve"> et à créer des dépôts dans le système d'injection et dans le moteur lui-même. Ainsi</w:t>
      </w:r>
      <w:r>
        <w:t>,</w:t>
      </w:r>
      <w:r w:rsidRPr="007D7279">
        <w:t xml:space="preserve"> la teneur en eau et les sédiments (ASTM D-1796, IP 75), est le résultat de traitement et des pratiques de stockage à partir du moment où le carburant quitte la raffinerie jusqu'au moment où il est fourni au système d'injection du moteur. </w:t>
      </w:r>
    </w:p>
    <w:p w:rsidR="00656AC8" w:rsidRPr="007D7279" w:rsidRDefault="00656AC8" w:rsidP="00F80F9A">
      <w:pPr>
        <w:spacing w:line="360" w:lineRule="auto"/>
        <w:jc w:val="both"/>
      </w:pPr>
      <w:r w:rsidRPr="007D7279">
        <w:lastRenderedPageBreak/>
        <w:br/>
        <w:t>L'instabilité et la dégradation du combustible en contact avec l'air contribuent la formation de sédiments organiques, en particulier pendant le stockage et la manipulation à des températures élevées. Les sédiments sont généralement constitués de la matière carbonée, des métaux, ou d'autres matières inorganiques. Il y a plusieurs causes de ce type de contamination : (1) la rouille ou la saleté présente dans les réservoirs et les lignes, (2) saleté introduite par de manipulation des pratiques, et (3) la saleté dans l'air respiré dans les installations de stockage à la variation des températures atmosphériques des pratiques.</w:t>
      </w:r>
      <w:r w:rsidRPr="00805E5D">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,17</w:t>
      </w:r>
      <w:r w:rsidRPr="00C96A2F">
        <w:rPr>
          <w:rFonts w:asciiTheme="majorBidi" w:hAnsiTheme="majorBidi" w:cstheme="majorBidi"/>
        </w:rPr>
        <w:t>]</w:t>
      </w:r>
      <w:r w:rsidRPr="007D7279">
        <w:t xml:space="preserve"> </w:t>
      </w:r>
    </w:p>
    <w:p w:rsidR="00656AC8" w:rsidRPr="007D7279" w:rsidRDefault="00656AC8" w:rsidP="00F80F9A">
      <w:pPr>
        <w:spacing w:line="360" w:lineRule="auto"/>
        <w:jc w:val="both"/>
      </w:pPr>
      <w:r w:rsidRPr="007D7279">
        <w:t xml:space="preserve">Les sédiments peuvent être déterminés individuellement (ASTM D-2276, ASTM D - 6217) ou par une méthode de test qui détermine l'eau en même temps (ASTM D </w:t>
      </w:r>
      <w:r>
        <w:t>–</w:t>
      </w:r>
      <w:r w:rsidRPr="007D7279">
        <w:t xml:space="preserve"> 2709</w:t>
      </w:r>
      <w:r>
        <w:t>)</w:t>
      </w:r>
      <w:r w:rsidRPr="007D7279">
        <w:t>. Dans la méthode de test, un échantillon est centrifugé à un cadre de coopération régionale de 800</w:t>
      </w:r>
      <w:r>
        <w:t xml:space="preserve"> tour</w:t>
      </w:r>
      <w:r w:rsidRPr="007D7279">
        <w:t xml:space="preserve"> pendant 10 minute à 21-32 ° C dans un tube de centrifugeuse, lisible à 0.005 ml et mesurables pour 0,01 ml. Après centrifugation, le volume d'eau et les sédiments qui se sont déposées dans le tube de centrifugeuse est plus proche de la lecture à 0,005 ml.</w:t>
      </w:r>
      <w:r w:rsidRPr="00805E5D">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,17</w:t>
      </w:r>
      <w:r w:rsidRPr="00C96A2F">
        <w:rPr>
          <w:rFonts w:asciiTheme="majorBidi" w:hAnsiTheme="majorBidi" w:cstheme="majorBidi"/>
        </w:rPr>
        <w:t>]</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 xml:space="preserve">La teneur d’eau en gasoil est de </w:t>
      </w:r>
      <w:r>
        <w:rPr>
          <w:rFonts w:asciiTheme="majorBidi" w:hAnsiTheme="majorBidi" w:cstheme="majorBidi"/>
        </w:rPr>
        <w:t>m</w:t>
      </w:r>
      <w:r w:rsidRPr="007D7279">
        <w:rPr>
          <w:rFonts w:asciiTheme="majorBidi" w:hAnsiTheme="majorBidi" w:cstheme="majorBidi"/>
        </w:rPr>
        <w:t xml:space="preserve">aximum 0.05 %Vol suivant les normes ASTM D 95, traces d’eau non dosables. Pour la teneur en sédiment est de </w:t>
      </w:r>
      <w:r>
        <w:rPr>
          <w:rFonts w:asciiTheme="majorBidi" w:hAnsiTheme="majorBidi" w:cstheme="majorBidi"/>
        </w:rPr>
        <w:t>m</w:t>
      </w:r>
      <w:r w:rsidRPr="007D7279">
        <w:rPr>
          <w:rFonts w:asciiTheme="majorBidi" w:hAnsiTheme="majorBidi" w:cstheme="majorBidi"/>
        </w:rPr>
        <w:t>aximum 0.01 %Pds suivant les normes ASTM D 473.</w:t>
      </w:r>
    </w:p>
    <w:p w:rsidR="00656AC8" w:rsidRPr="00F531EB" w:rsidRDefault="00656AC8" w:rsidP="00F80F9A">
      <w:pPr>
        <w:spacing w:line="360" w:lineRule="auto"/>
        <w:jc w:val="both"/>
        <w:rPr>
          <w:rFonts w:asciiTheme="majorBidi" w:hAnsiTheme="majorBidi" w:cstheme="majorBidi"/>
          <w:b/>
          <w:bCs/>
        </w:rPr>
      </w:pPr>
      <w:r w:rsidRPr="00F531EB">
        <w:rPr>
          <w:b/>
          <w:bCs/>
        </w:rPr>
        <w:t xml:space="preserve">I.2.19. </w:t>
      </w:r>
      <w:r w:rsidRPr="00F531EB">
        <w:rPr>
          <w:rFonts w:asciiTheme="majorBidi" w:hAnsiTheme="majorBidi" w:cstheme="majorBidi"/>
          <w:b/>
          <w:bCs/>
        </w:rPr>
        <w:t>Teneur en soufre :</w:t>
      </w:r>
    </w:p>
    <w:p w:rsidR="00656AC8" w:rsidRPr="007D7279" w:rsidRDefault="00656AC8" w:rsidP="00F80F9A">
      <w:pPr>
        <w:spacing w:line="360" w:lineRule="auto"/>
        <w:jc w:val="both"/>
      </w:pPr>
      <w:r w:rsidRPr="007D7279">
        <w:t>La teneur en soufre du gasoil (ASTM D-129, ASTM D-1266, ASTM D-L551, ASTM D-1552, ASTM D-2622, ASTM D-4294, IP 61, IP 63) dépend de l'origine du pétrole brut et sur les méthodes de raffinage. Le soufre peut être présent dans un certain nombre de formes, par exemple, comme les thiols, de sulfures, disulfures, ou des composés hétérocycliques tels que</w:t>
      </w:r>
      <w:r>
        <w:t xml:space="preserve"> les</w:t>
      </w:r>
      <w:r w:rsidRPr="007D7279">
        <w:t xml:space="preserve"> thiophènes. </w:t>
      </w:r>
    </w:p>
    <w:p w:rsidR="00656AC8" w:rsidRPr="007D7279" w:rsidRDefault="00656AC8" w:rsidP="00F80F9A">
      <w:pPr>
        <w:spacing w:line="360" w:lineRule="auto"/>
        <w:jc w:val="both"/>
      </w:pPr>
      <w:r w:rsidRPr="007D7279">
        <w:t>Le soufre est mesuré sur la base de la quantité et la corrosivité potentielle. Les mesures quantitatives peuvent être faites au moyen d'une bombe de combustion (ASTM D-129, IP 61). La mesure de la corrosivité potentielle peut être déterminée au moyen d'une procédure de bande de cuivre (ASTM D-L3, IP 154). La détermination quantitative est une indication de la tendance corrosive des produits de combustion de combustibles, tandis que le potentiel de corrosivité indique le degré de corrosion à prévoir du combustible non brûlé, en particulier dans le système d'injection de carburant.</w:t>
      </w:r>
      <w:r w:rsidRPr="00805E5D">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,18</w:t>
      </w:r>
      <w:r w:rsidRPr="00C96A2F">
        <w:rPr>
          <w:rFonts w:asciiTheme="majorBidi" w:hAnsiTheme="majorBidi" w:cstheme="majorBidi"/>
        </w:rPr>
        <w:t>]</w:t>
      </w:r>
      <w:r w:rsidRPr="007D7279">
        <w:t xml:space="preserve"> </w:t>
      </w:r>
    </w:p>
    <w:p w:rsidR="00656AC8" w:rsidRPr="00841A6F" w:rsidRDefault="00656AC8" w:rsidP="00F80F9A">
      <w:pPr>
        <w:spacing w:line="360" w:lineRule="auto"/>
        <w:jc w:val="both"/>
      </w:pPr>
      <w:r w:rsidRPr="007D7279">
        <w:t xml:space="preserve">Dans le carburant de turbine à gaz, de composés soufrés (ASTM D-2880, notamment l'hydrogène sulfuré, le soufre élémentaire, et polysulfures) peut être corrosif (ASTM D-130, IP 30) dans la manipulation du combustible des systèmes et des mercaptans peuvent attaquer n'importe quel élastomère présent. Ainsi, le soufre mercaptan (ASTM D-235, ASTM D - 3227, IP 30, IP 104) est limité à des niveaux bas en raison des odeurs désagréables, les effets </w:t>
      </w:r>
      <w:r w:rsidRPr="007D7279">
        <w:lastRenderedPageBreak/>
        <w:t>adverses sur certains élastomères de carburant du système, et la corrosivité pour les métaux des systèmes de carburant.</w:t>
      </w:r>
      <w:r w:rsidRPr="00805E5D">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,18</w:t>
      </w:r>
      <w:r w:rsidRPr="00C96A2F">
        <w:rPr>
          <w:rFonts w:asciiTheme="majorBidi" w:hAnsiTheme="majorBidi" w:cstheme="majorBidi"/>
        </w:rPr>
        <w:t>]</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La teneur en soufre dans le gasoil est de :</w:t>
      </w:r>
    </w:p>
    <w:p w:rsidR="00656AC8" w:rsidRPr="007D7279" w:rsidRDefault="00656AC8" w:rsidP="00F80F9A">
      <w:pPr>
        <w:pStyle w:val="Paragraphedeliste"/>
        <w:numPr>
          <w:ilvl w:val="0"/>
          <w:numId w:val="1"/>
        </w:numPr>
        <w:spacing w:line="360" w:lineRule="auto"/>
        <w:jc w:val="both"/>
        <w:rPr>
          <w:rFonts w:asciiTheme="majorBidi" w:hAnsiTheme="majorBidi" w:cstheme="majorBidi"/>
          <w:sz w:val="24"/>
          <w:szCs w:val="24"/>
        </w:rPr>
      </w:pPr>
      <w:r w:rsidRPr="007D7279">
        <w:rPr>
          <w:rFonts w:asciiTheme="majorBidi" w:hAnsiTheme="majorBidi" w:cstheme="majorBidi"/>
          <w:sz w:val="24"/>
          <w:szCs w:val="24"/>
        </w:rPr>
        <w:t xml:space="preserve">Apres </w:t>
      </w:r>
      <w:r>
        <w:rPr>
          <w:rFonts w:asciiTheme="majorBidi" w:hAnsiTheme="majorBidi" w:cstheme="majorBidi"/>
          <w:sz w:val="24"/>
          <w:szCs w:val="24"/>
        </w:rPr>
        <w:t>2005</w:t>
      </w:r>
      <w:r w:rsidRPr="007D7279">
        <w:rPr>
          <w:rFonts w:asciiTheme="majorBidi" w:hAnsiTheme="majorBidi" w:cstheme="majorBidi"/>
          <w:sz w:val="24"/>
          <w:szCs w:val="24"/>
        </w:rPr>
        <w:t>, elle  doit être inférieure à 50</w:t>
      </w:r>
      <w:r>
        <w:rPr>
          <w:rFonts w:asciiTheme="majorBidi" w:hAnsiTheme="majorBidi" w:cstheme="majorBidi"/>
          <w:sz w:val="24"/>
          <w:szCs w:val="24"/>
        </w:rPr>
        <w:t xml:space="preserve"> </w:t>
      </w:r>
      <w:r w:rsidRPr="007D7279">
        <w:rPr>
          <w:rFonts w:asciiTheme="majorBidi" w:hAnsiTheme="majorBidi" w:cstheme="majorBidi"/>
          <w:sz w:val="24"/>
          <w:szCs w:val="24"/>
        </w:rPr>
        <w:t>ppm suivant les normes ASTMD 4294</w:t>
      </w:r>
    </w:p>
    <w:p w:rsidR="00656AC8" w:rsidRDefault="00656AC8" w:rsidP="00F80F9A">
      <w:pPr>
        <w:pStyle w:val="Paragraphedeliste"/>
        <w:numPr>
          <w:ilvl w:val="0"/>
          <w:numId w:val="1"/>
        </w:num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Apres 2009, elle doit être inférieure à 10</w:t>
      </w:r>
      <w:r>
        <w:rPr>
          <w:rFonts w:asciiTheme="majorBidi" w:hAnsiTheme="majorBidi" w:cstheme="majorBidi"/>
          <w:sz w:val="24"/>
          <w:szCs w:val="24"/>
        </w:rPr>
        <w:t xml:space="preserve"> </w:t>
      </w:r>
      <w:r w:rsidRPr="007D7279">
        <w:rPr>
          <w:rFonts w:asciiTheme="majorBidi" w:hAnsiTheme="majorBidi" w:cstheme="majorBidi"/>
          <w:sz w:val="24"/>
          <w:szCs w:val="24"/>
        </w:rPr>
        <w:t>ppm suivant les normes européennes</w:t>
      </w:r>
    </w:p>
    <w:p w:rsidR="00656AC8" w:rsidRDefault="00656AC8" w:rsidP="00F80F9A">
      <w:pPr>
        <w:spacing w:line="360" w:lineRule="auto"/>
        <w:jc w:val="both"/>
        <w:rPr>
          <w:rFonts w:asciiTheme="majorBidi" w:hAnsiTheme="majorBidi" w:cstheme="majorBidi"/>
        </w:rPr>
      </w:pPr>
      <w:r w:rsidRPr="004B5EA1">
        <w:rPr>
          <w:rFonts w:asciiTheme="majorBidi" w:hAnsiTheme="majorBidi" w:cstheme="majorBidi"/>
        </w:rPr>
        <w:t>Généralement les spécifications du gasoil sont classées dans le tableau suivant :</w:t>
      </w:r>
      <w:r w:rsidRPr="00805E5D">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,2,3,16</w:t>
      </w:r>
      <w:r w:rsidRPr="00C96A2F">
        <w:rPr>
          <w:rFonts w:asciiTheme="majorBidi" w:hAnsiTheme="majorBidi" w:cstheme="majorBidi"/>
        </w:rPr>
        <w:t>]</w:t>
      </w:r>
    </w:p>
    <w:tbl>
      <w:tblPr>
        <w:tblStyle w:val="Grilledutableau"/>
        <w:tblW w:w="0" w:type="auto"/>
        <w:jc w:val="center"/>
        <w:tblLook w:val="04A0"/>
      </w:tblPr>
      <w:tblGrid>
        <w:gridCol w:w="4077"/>
        <w:gridCol w:w="1560"/>
        <w:gridCol w:w="1701"/>
        <w:gridCol w:w="1701"/>
      </w:tblGrid>
      <w:tr w:rsidR="00656AC8" w:rsidRPr="00636553" w:rsidTr="00E6403E">
        <w:trPr>
          <w:jc w:val="center"/>
        </w:trPr>
        <w:tc>
          <w:tcPr>
            <w:tcW w:w="4077" w:type="dxa"/>
          </w:tcPr>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propriétés</w:t>
            </w:r>
          </w:p>
        </w:tc>
        <w:tc>
          <w:tcPr>
            <w:tcW w:w="1560" w:type="dxa"/>
          </w:tcPr>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unité</w:t>
            </w:r>
          </w:p>
        </w:tc>
        <w:tc>
          <w:tcPr>
            <w:tcW w:w="1701" w:type="dxa"/>
          </w:tcPr>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valeur</w:t>
            </w:r>
          </w:p>
        </w:tc>
        <w:tc>
          <w:tcPr>
            <w:tcW w:w="1701" w:type="dxa"/>
          </w:tcPr>
          <w:p w:rsidR="00656AC8" w:rsidRPr="00636553"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Normes</w:t>
            </w:r>
          </w:p>
        </w:tc>
      </w:tr>
      <w:tr w:rsidR="00656AC8" w:rsidTr="00E6403E">
        <w:trPr>
          <w:jc w:val="center"/>
        </w:trPr>
        <w:tc>
          <w:tcPr>
            <w:tcW w:w="4077" w:type="dxa"/>
          </w:tcPr>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Couleur</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Densité 15/4</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Distillation</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65</w:t>
            </w:r>
            <w:r>
              <w:rPr>
                <w:rFonts w:asciiTheme="majorBidi" w:hAnsiTheme="majorBidi" w:cstheme="majorBidi"/>
                <w:sz w:val="24"/>
                <w:szCs w:val="24"/>
              </w:rPr>
              <w:t>%</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90%</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PF</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Point d’éclair</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Point d’écoulement 01/11 au 31/03</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Point d’écoulement 01/04 au 31/10</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Indice de cétane</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Teneur en cendre</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Teneur en eau</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 xml:space="preserve">Viscosité à </w:t>
            </w:r>
            <w:r>
              <w:rPr>
                <w:rFonts w:asciiTheme="majorBidi" w:hAnsiTheme="majorBidi" w:cstheme="majorBidi"/>
                <w:sz w:val="24"/>
                <w:szCs w:val="24"/>
              </w:rPr>
              <w:t>40</w:t>
            </w:r>
            <w:r w:rsidRPr="00636553">
              <w:rPr>
                <w:rFonts w:asciiTheme="majorBidi" w:hAnsiTheme="majorBidi" w:cstheme="majorBidi"/>
                <w:sz w:val="24"/>
                <w:szCs w:val="24"/>
              </w:rPr>
              <w:t>°C</w:t>
            </w:r>
          </w:p>
          <w:p w:rsidR="00656AC8"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Teneur en soufre</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Acidité</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Pouvoir calorifique</w:t>
            </w:r>
          </w:p>
          <w:p w:rsidR="00656AC8"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Carbone</w:t>
            </w:r>
            <w:r>
              <w:rPr>
                <w:rFonts w:asciiTheme="majorBidi" w:hAnsiTheme="majorBidi" w:cstheme="majorBidi"/>
                <w:sz w:val="24"/>
                <w:szCs w:val="24"/>
              </w:rPr>
              <w:t xml:space="preserve"> résidu 10% de</w:t>
            </w:r>
            <w:r w:rsidRPr="007D7279">
              <w:rPr>
                <w:rFonts w:asciiTheme="majorBidi" w:hAnsiTheme="majorBidi" w:cstheme="majorBidi"/>
                <w:sz w:val="24"/>
                <w:szCs w:val="24"/>
              </w:rPr>
              <w:t xml:space="preserve"> Conradson </w:t>
            </w:r>
          </w:p>
          <w:p w:rsidR="00656AC8"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Carbone</w:t>
            </w:r>
            <w:r>
              <w:rPr>
                <w:rFonts w:asciiTheme="majorBidi" w:hAnsiTheme="majorBidi" w:cstheme="majorBidi"/>
                <w:sz w:val="24"/>
                <w:szCs w:val="24"/>
              </w:rPr>
              <w:t xml:space="preserve"> résidu 10% de</w:t>
            </w:r>
            <w:r w:rsidRPr="007D7279">
              <w:rPr>
                <w:rFonts w:asciiTheme="majorBidi" w:hAnsiTheme="majorBidi" w:cstheme="majorBidi"/>
                <w:sz w:val="24"/>
                <w:szCs w:val="24"/>
              </w:rPr>
              <w:t xml:space="preserve"> Ramsbottom</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Point de trouble</w:t>
            </w:r>
          </w:p>
          <w:p w:rsidR="00656AC8" w:rsidRDefault="00656AC8" w:rsidP="00F80F9A">
            <w:pPr>
              <w:spacing w:line="360" w:lineRule="auto"/>
              <w:jc w:val="both"/>
              <w:rPr>
                <w:rFonts w:ascii="Times New Roman" w:hAnsi="Times New Roman" w:cs="Times New Roman"/>
                <w:sz w:val="24"/>
                <w:szCs w:val="24"/>
              </w:rPr>
            </w:pPr>
            <w:r w:rsidRPr="007D7279">
              <w:rPr>
                <w:rFonts w:ascii="Times New Roman" w:hAnsi="Times New Roman" w:cs="Times New Roman"/>
                <w:sz w:val="24"/>
                <w:szCs w:val="24"/>
              </w:rPr>
              <w:t>point de congélation</w:t>
            </w:r>
          </w:p>
          <w:p w:rsidR="00656AC8" w:rsidRDefault="00656AC8" w:rsidP="00F80F9A">
            <w:pPr>
              <w:spacing w:line="360" w:lineRule="auto"/>
              <w:jc w:val="both"/>
              <w:rPr>
                <w:rFonts w:ascii="Times New Roman" w:hAnsi="Times New Roman" w:cs="Times New Roman"/>
                <w:sz w:val="24"/>
                <w:szCs w:val="24"/>
              </w:rPr>
            </w:pPr>
            <w:r>
              <w:rPr>
                <w:rFonts w:ascii="Times New Roman" w:hAnsi="Times New Roman" w:cs="Times New Roman"/>
                <w:sz w:val="24"/>
                <w:szCs w:val="24"/>
              </w:rPr>
              <w:t>point de filtrabilité</w:t>
            </w:r>
          </w:p>
          <w:p w:rsidR="00656AC8" w:rsidRDefault="00656AC8" w:rsidP="00F80F9A">
            <w:pPr>
              <w:spacing w:line="360" w:lineRule="auto"/>
              <w:jc w:val="both"/>
              <w:rPr>
                <w:rFonts w:ascii="Times New Roman" w:hAnsi="Times New Roman" w:cs="Times New Roman"/>
                <w:sz w:val="24"/>
                <w:szCs w:val="24"/>
              </w:rPr>
            </w:pPr>
            <w:r>
              <w:rPr>
                <w:rFonts w:ascii="Times New Roman" w:hAnsi="Times New Roman" w:cs="Times New Roman"/>
                <w:sz w:val="24"/>
                <w:szCs w:val="24"/>
              </w:rPr>
              <w:t>corrosion sue lame de cuivre</w:t>
            </w:r>
          </w:p>
          <w:p w:rsidR="00656AC8" w:rsidRDefault="00656AC8" w:rsidP="00F80F9A">
            <w:pPr>
              <w:spacing w:line="360" w:lineRule="auto"/>
              <w:jc w:val="both"/>
              <w:rPr>
                <w:rFonts w:ascii="Times New Roman" w:hAnsi="Times New Roman" w:cs="Times New Roman"/>
                <w:sz w:val="24"/>
                <w:szCs w:val="24"/>
              </w:rPr>
            </w:pPr>
            <w:r>
              <w:rPr>
                <w:rFonts w:ascii="Times New Roman" w:hAnsi="Times New Roman" w:cs="Times New Roman"/>
                <w:sz w:val="24"/>
                <w:szCs w:val="24"/>
              </w:rPr>
              <w:t>stabilité à l’oxydation</w:t>
            </w:r>
          </w:p>
          <w:p w:rsidR="00656AC8" w:rsidRPr="005C1DF2" w:rsidRDefault="00656AC8" w:rsidP="00F80F9A">
            <w:pPr>
              <w:spacing w:line="360" w:lineRule="auto"/>
              <w:jc w:val="both"/>
              <w:rPr>
                <w:rFonts w:ascii="Times New Roman" w:hAnsi="Times New Roman" w:cs="Times New Roman"/>
                <w:sz w:val="24"/>
                <w:szCs w:val="24"/>
              </w:rPr>
            </w:pPr>
            <w:r>
              <w:rPr>
                <w:rFonts w:ascii="Times New Roman" w:hAnsi="Times New Roman" w:cs="Times New Roman"/>
                <w:sz w:val="24"/>
                <w:szCs w:val="24"/>
              </w:rPr>
              <w:t>teneur en sédiment</w:t>
            </w:r>
          </w:p>
        </w:tc>
        <w:tc>
          <w:tcPr>
            <w:tcW w:w="1560" w:type="dxa"/>
          </w:tcPr>
          <w:p w:rsidR="00656AC8" w:rsidRDefault="00656AC8" w:rsidP="00F80F9A">
            <w:pPr>
              <w:spacing w:line="360" w:lineRule="auto"/>
              <w:jc w:val="both"/>
            </w:pP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g/cm</w:t>
            </w:r>
            <w:r w:rsidRPr="00A504A4">
              <w:rPr>
                <w:rFonts w:asciiTheme="majorBidi" w:hAnsiTheme="majorBidi" w:cstheme="majorBidi"/>
                <w:sz w:val="24"/>
                <w:szCs w:val="24"/>
                <w:vertAlign w:val="superscript"/>
                <w:lang w:val="en-US"/>
              </w:rPr>
              <w:t>3</w:t>
            </w:r>
          </w:p>
          <w:p w:rsidR="00656AC8" w:rsidRPr="00A504A4" w:rsidRDefault="00656AC8" w:rsidP="00F80F9A">
            <w:pPr>
              <w:spacing w:line="360" w:lineRule="auto"/>
              <w:jc w:val="both"/>
              <w:rPr>
                <w:rFonts w:asciiTheme="majorBidi" w:hAnsiTheme="majorBidi" w:cstheme="majorBidi"/>
                <w:sz w:val="24"/>
                <w:szCs w:val="24"/>
                <w:lang w:val="en-US"/>
              </w:rPr>
            </w:pP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%Pds</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%Vol</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Sct</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%Pds</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mg KOH/g</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kJ/kg</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%pds</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%pds</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°C</w:t>
            </w:r>
          </w:p>
          <w:p w:rsidR="00656AC8" w:rsidRDefault="00656AC8" w:rsidP="00F80F9A">
            <w:pPr>
              <w:spacing w:line="360" w:lineRule="auto"/>
              <w:jc w:val="both"/>
              <w:rPr>
                <w:rFonts w:asciiTheme="majorBidi" w:hAnsiTheme="majorBidi" w:cstheme="majorBidi"/>
                <w:sz w:val="24"/>
                <w:szCs w:val="24"/>
              </w:rPr>
            </w:pPr>
          </w:p>
          <w:p w:rsidR="00656AC8" w:rsidRDefault="00656AC8" w:rsidP="00F80F9A">
            <w:pPr>
              <w:spacing w:line="360" w:lineRule="auto"/>
              <w:jc w:val="both"/>
              <w:rPr>
                <w:rFonts w:asciiTheme="majorBidi" w:hAnsiTheme="majorBidi" w:cstheme="majorBidi"/>
                <w:sz w:val="24"/>
                <w:szCs w:val="24"/>
                <w:vertAlign w:val="superscript"/>
              </w:rPr>
            </w:pPr>
            <w:r>
              <w:rPr>
                <w:rFonts w:asciiTheme="majorBidi" w:hAnsiTheme="majorBidi" w:cstheme="majorBidi"/>
                <w:sz w:val="24"/>
                <w:szCs w:val="24"/>
              </w:rPr>
              <w:t>g/m</w:t>
            </w:r>
            <w:r w:rsidRPr="004D4C91">
              <w:rPr>
                <w:rFonts w:asciiTheme="majorBidi" w:hAnsiTheme="majorBidi" w:cstheme="majorBidi"/>
                <w:sz w:val="24"/>
                <w:szCs w:val="24"/>
                <w:vertAlign w:val="superscript"/>
              </w:rPr>
              <w:t>3</w:t>
            </w:r>
          </w:p>
          <w:p w:rsidR="00656AC8" w:rsidRPr="005C1DF2" w:rsidRDefault="00656AC8" w:rsidP="00F80F9A">
            <w:pPr>
              <w:spacing w:line="360" w:lineRule="auto"/>
              <w:jc w:val="both"/>
              <w:rPr>
                <w:rFonts w:asciiTheme="majorBidi" w:hAnsiTheme="majorBidi" w:cstheme="majorBidi"/>
                <w:sz w:val="24"/>
                <w:szCs w:val="24"/>
              </w:rPr>
            </w:pPr>
            <w:r w:rsidRPr="005C1DF2">
              <w:rPr>
                <w:rFonts w:asciiTheme="majorBidi" w:hAnsiTheme="majorBidi" w:cstheme="majorBidi"/>
                <w:sz w:val="24"/>
                <w:szCs w:val="24"/>
              </w:rPr>
              <w:t>%Pds</w:t>
            </w:r>
          </w:p>
        </w:tc>
        <w:tc>
          <w:tcPr>
            <w:tcW w:w="1701" w:type="dxa"/>
          </w:tcPr>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2,5 max</w:t>
            </w:r>
          </w:p>
          <w:p w:rsidR="00656AC8"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 xml:space="preserve">0,820 à 0,860 </w:t>
            </w:r>
          </w:p>
          <w:p w:rsidR="00656AC8" w:rsidRDefault="00656AC8" w:rsidP="00F80F9A">
            <w:pPr>
              <w:spacing w:line="360" w:lineRule="auto"/>
              <w:jc w:val="both"/>
              <w:rPr>
                <w:rFonts w:asciiTheme="majorBidi" w:hAnsiTheme="majorBidi" w:cstheme="majorBidi"/>
                <w:sz w:val="24"/>
                <w:szCs w:val="24"/>
              </w:rPr>
            </w:pP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250 min</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357à 362 max</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385 max</w:t>
            </w:r>
          </w:p>
          <w:p w:rsidR="00656AC8"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52 à 66</w:t>
            </w:r>
            <w:r>
              <w:rPr>
                <w:rFonts w:asciiTheme="majorBidi" w:hAnsiTheme="majorBidi" w:cstheme="majorBidi"/>
                <w:sz w:val="24"/>
                <w:szCs w:val="24"/>
              </w:rPr>
              <w:t xml:space="preserve"> min</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-12 max</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-9max</w:t>
            </w:r>
          </w:p>
          <w:p w:rsidR="00656AC8"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 xml:space="preserve">45 à 50 </w:t>
            </w:r>
            <w:r>
              <w:rPr>
                <w:rFonts w:asciiTheme="majorBidi" w:hAnsiTheme="majorBidi" w:cstheme="majorBidi"/>
                <w:sz w:val="24"/>
                <w:szCs w:val="24"/>
              </w:rPr>
              <w:t xml:space="preserve"> min</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0,01 max</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0,05</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2 à 9 max</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0,2 max</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1,5 max</w:t>
            </w:r>
          </w:p>
          <w:p w:rsidR="00656AC8"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43</w:t>
            </w:r>
            <w:r>
              <w:rPr>
                <w:rFonts w:asciiTheme="majorBidi" w:hAnsiTheme="majorBidi" w:cstheme="majorBidi"/>
                <w:sz w:val="24"/>
                <w:szCs w:val="24"/>
              </w:rPr>
              <w:t> </w:t>
            </w:r>
            <w:r w:rsidRPr="007D7279">
              <w:rPr>
                <w:rFonts w:asciiTheme="majorBidi" w:hAnsiTheme="majorBidi" w:cstheme="majorBidi"/>
                <w:sz w:val="24"/>
                <w:szCs w:val="24"/>
              </w:rPr>
              <w:t>000</w:t>
            </w:r>
          </w:p>
          <w:p w:rsidR="00656AC8"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0,15 à 0,2</w:t>
            </w:r>
          </w:p>
          <w:p w:rsidR="00656AC8"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0,02</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1</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0 à -15</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0 à -20</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négatif</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25</w:t>
            </w:r>
          </w:p>
          <w:p w:rsidR="00656AC8" w:rsidRPr="00636553"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0,01</w:t>
            </w:r>
          </w:p>
        </w:tc>
        <w:tc>
          <w:tcPr>
            <w:tcW w:w="1701" w:type="dxa"/>
          </w:tcPr>
          <w:p w:rsidR="00656AC8"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ASTM D1500</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D4052</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D86</w:t>
            </w:r>
          </w:p>
          <w:p w:rsidR="00656AC8" w:rsidRDefault="00656AC8" w:rsidP="00F80F9A">
            <w:pPr>
              <w:spacing w:line="360" w:lineRule="auto"/>
              <w:jc w:val="both"/>
              <w:rPr>
                <w:rFonts w:asciiTheme="majorBidi" w:hAnsiTheme="majorBidi" w:cstheme="majorBidi"/>
                <w:sz w:val="24"/>
                <w:szCs w:val="24"/>
              </w:rPr>
            </w:pPr>
          </w:p>
          <w:p w:rsidR="00656AC8" w:rsidRDefault="00656AC8" w:rsidP="00F80F9A">
            <w:pPr>
              <w:spacing w:line="360" w:lineRule="auto"/>
              <w:jc w:val="both"/>
              <w:rPr>
                <w:rFonts w:asciiTheme="majorBidi" w:hAnsiTheme="majorBidi" w:cstheme="majorBidi"/>
                <w:sz w:val="24"/>
                <w:szCs w:val="24"/>
              </w:rPr>
            </w:pPr>
          </w:p>
          <w:p w:rsidR="00656AC8" w:rsidRDefault="00656AC8" w:rsidP="00F80F9A">
            <w:pPr>
              <w:spacing w:line="360" w:lineRule="auto"/>
              <w:jc w:val="both"/>
              <w:rPr>
                <w:rFonts w:asciiTheme="majorBidi" w:hAnsiTheme="majorBidi" w:cstheme="majorBidi"/>
                <w:sz w:val="24"/>
                <w:szCs w:val="24"/>
              </w:rPr>
            </w:pP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D93</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D97</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D97</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D976</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D482</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D95</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D445</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D4294</w:t>
            </w:r>
          </w:p>
          <w:p w:rsidR="00656AC8"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 664</w:t>
            </w:r>
          </w:p>
          <w:p w:rsidR="00656AC8" w:rsidRDefault="00656AC8" w:rsidP="00F80F9A">
            <w:pPr>
              <w:spacing w:line="360" w:lineRule="auto"/>
              <w:jc w:val="both"/>
              <w:rPr>
                <w:rFonts w:ascii="Times New Roman" w:hAnsi="Times New Roman" w:cs="Times New Roman"/>
                <w:sz w:val="24"/>
                <w:szCs w:val="24"/>
              </w:rPr>
            </w:pPr>
            <w:r w:rsidRPr="007D7279">
              <w:rPr>
                <w:rFonts w:ascii="Times New Roman" w:hAnsi="Times New Roman" w:cs="Times New Roman"/>
                <w:sz w:val="24"/>
                <w:szCs w:val="24"/>
              </w:rPr>
              <w:t>ASTM D-240</w:t>
            </w:r>
          </w:p>
          <w:p w:rsidR="00656AC8"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 189</w:t>
            </w:r>
          </w:p>
          <w:p w:rsidR="00656AC8"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 524</w:t>
            </w:r>
          </w:p>
          <w:p w:rsidR="00656AC8" w:rsidRDefault="00656AC8" w:rsidP="00F80F9A">
            <w:pPr>
              <w:spacing w:line="360" w:lineRule="auto"/>
              <w:jc w:val="both"/>
              <w:rPr>
                <w:rFonts w:ascii="Times New Roman" w:hAnsi="Times New Roman" w:cs="Times New Roman"/>
                <w:sz w:val="24"/>
                <w:szCs w:val="24"/>
              </w:rPr>
            </w:pPr>
            <w:r>
              <w:rPr>
                <w:rFonts w:ascii="Times New Roman" w:hAnsi="Times New Roman" w:cs="Times New Roman"/>
                <w:sz w:val="24"/>
                <w:szCs w:val="24"/>
              </w:rPr>
              <w:t>ASTM D2500</w:t>
            </w:r>
          </w:p>
          <w:p w:rsidR="00656AC8" w:rsidRDefault="00656AC8" w:rsidP="00F80F9A">
            <w:pPr>
              <w:spacing w:line="360" w:lineRule="auto"/>
              <w:jc w:val="both"/>
              <w:rPr>
                <w:rFonts w:ascii="Times New Roman" w:hAnsi="Times New Roman" w:cs="Times New Roman"/>
                <w:sz w:val="24"/>
                <w:szCs w:val="24"/>
              </w:rPr>
            </w:pPr>
            <w:r>
              <w:rPr>
                <w:rFonts w:ascii="Times New Roman" w:hAnsi="Times New Roman" w:cs="Times New Roman"/>
                <w:sz w:val="24"/>
                <w:szCs w:val="24"/>
              </w:rPr>
              <w:t>ASTM D5972</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D6371</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D130</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D2274</w:t>
            </w:r>
          </w:p>
          <w:p w:rsidR="00656AC8" w:rsidRPr="00636553"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D473</w:t>
            </w:r>
          </w:p>
        </w:tc>
      </w:tr>
    </w:tbl>
    <w:p w:rsidR="00656AC8" w:rsidRPr="00805E5D" w:rsidRDefault="00656AC8" w:rsidP="000B768D">
      <w:pPr>
        <w:spacing w:line="360" w:lineRule="auto"/>
        <w:jc w:val="center"/>
        <w:rPr>
          <w:rFonts w:asciiTheme="majorBidi" w:hAnsiTheme="majorBidi" w:cstheme="majorBidi"/>
          <w:b/>
          <w:bCs/>
          <w:u w:val="single"/>
        </w:rPr>
      </w:pPr>
      <w:r w:rsidRPr="00805E5D">
        <w:rPr>
          <w:rFonts w:asciiTheme="majorBidi" w:hAnsiTheme="majorBidi" w:cstheme="majorBidi"/>
          <w:b/>
          <w:bCs/>
          <w:u w:val="single"/>
        </w:rPr>
        <w:t>Tableau.</w:t>
      </w:r>
      <w:r>
        <w:rPr>
          <w:rFonts w:asciiTheme="majorBidi" w:hAnsiTheme="majorBidi" w:cstheme="majorBidi"/>
          <w:b/>
          <w:bCs/>
          <w:u w:val="single"/>
        </w:rPr>
        <w:t>I.</w:t>
      </w:r>
      <w:r w:rsidRPr="00805E5D">
        <w:rPr>
          <w:rFonts w:asciiTheme="majorBidi" w:hAnsiTheme="majorBidi" w:cstheme="majorBidi"/>
          <w:b/>
          <w:bCs/>
          <w:u w:val="single"/>
        </w:rPr>
        <w:t>1. spécification du gasoil</w:t>
      </w:r>
    </w:p>
    <w:p w:rsidR="00656AC8" w:rsidRDefault="00656AC8" w:rsidP="00F80F9A">
      <w:pPr>
        <w:spacing w:line="360" w:lineRule="auto"/>
        <w:jc w:val="both"/>
        <w:rPr>
          <w:rFonts w:asciiTheme="majorBidi" w:hAnsiTheme="majorBidi" w:cstheme="majorBidi"/>
          <w:b/>
          <w:bCs/>
          <w:sz w:val="28"/>
          <w:szCs w:val="28"/>
          <w:u w:val="single"/>
        </w:rPr>
      </w:pPr>
    </w:p>
    <w:p w:rsidR="00656AC8" w:rsidRDefault="00656AC8" w:rsidP="00F80F9A">
      <w:pPr>
        <w:spacing w:line="360" w:lineRule="auto"/>
        <w:jc w:val="both"/>
        <w:rPr>
          <w:rFonts w:asciiTheme="majorBidi" w:hAnsiTheme="majorBidi" w:cstheme="majorBidi"/>
          <w:b/>
          <w:bCs/>
          <w:sz w:val="28"/>
          <w:szCs w:val="28"/>
          <w:u w:val="single"/>
        </w:rPr>
      </w:pPr>
    </w:p>
    <w:p w:rsidR="00656AC8" w:rsidRPr="00F531EB" w:rsidRDefault="00656AC8" w:rsidP="00F80F9A">
      <w:pPr>
        <w:spacing w:line="360" w:lineRule="auto"/>
        <w:jc w:val="both"/>
        <w:rPr>
          <w:rFonts w:asciiTheme="majorBidi" w:hAnsiTheme="majorBidi" w:cstheme="majorBidi"/>
          <w:b/>
          <w:bCs/>
          <w:sz w:val="28"/>
          <w:szCs w:val="28"/>
        </w:rPr>
      </w:pPr>
      <w:r w:rsidRPr="00F531EB">
        <w:rPr>
          <w:rFonts w:asciiTheme="majorBidi" w:hAnsiTheme="majorBidi" w:cstheme="majorBidi"/>
          <w:b/>
          <w:bCs/>
          <w:sz w:val="28"/>
          <w:szCs w:val="28"/>
        </w:rPr>
        <w:lastRenderedPageBreak/>
        <w:t>I.3. Spécifications Algériennes et spécifications Européennes du gasoil :</w:t>
      </w:r>
    </w:p>
    <w:p w:rsidR="00656AC8" w:rsidRPr="00F531EB" w:rsidRDefault="00656AC8" w:rsidP="00F80F9A">
      <w:pPr>
        <w:spacing w:line="360" w:lineRule="auto"/>
        <w:jc w:val="both"/>
        <w:rPr>
          <w:rFonts w:asciiTheme="majorBidi" w:hAnsiTheme="majorBidi" w:cstheme="majorBidi"/>
          <w:b/>
          <w:bCs/>
        </w:rPr>
      </w:pPr>
      <w:r w:rsidRPr="00F531EB">
        <w:rPr>
          <w:rFonts w:asciiTheme="majorBidi" w:hAnsiTheme="majorBidi" w:cstheme="majorBidi"/>
          <w:b/>
          <w:bCs/>
        </w:rPr>
        <w:t>1. Spécifications Algériennes  :</w:t>
      </w:r>
    </w:p>
    <w:p w:rsidR="00656AC8" w:rsidRPr="00805E5D" w:rsidRDefault="00656AC8" w:rsidP="00F80F9A">
      <w:pPr>
        <w:spacing w:line="360" w:lineRule="auto"/>
        <w:jc w:val="both"/>
        <w:rPr>
          <w:rFonts w:asciiTheme="majorBidi" w:hAnsiTheme="majorBidi" w:cstheme="majorBidi"/>
        </w:rPr>
      </w:pPr>
      <w:r w:rsidRPr="00805E5D">
        <w:rPr>
          <w:rFonts w:asciiTheme="majorBidi" w:hAnsiTheme="majorBidi" w:cstheme="majorBidi"/>
        </w:rPr>
        <w:t>S</w:t>
      </w:r>
      <w:r>
        <w:rPr>
          <w:rFonts w:asciiTheme="majorBidi" w:hAnsiTheme="majorBidi" w:cstheme="majorBidi"/>
        </w:rPr>
        <w:t>elon</w:t>
      </w:r>
      <w:r w:rsidRPr="00805E5D">
        <w:rPr>
          <w:rFonts w:asciiTheme="majorBidi" w:hAnsiTheme="majorBidi" w:cstheme="majorBidi"/>
        </w:rPr>
        <w:t xml:space="preserve"> la norme Algérienne NA 8110 :  Norme Algérienne NA 8110  </w:t>
      </w:r>
    </w:p>
    <w:tbl>
      <w:tblPr>
        <w:tblStyle w:val="Grilledutableau"/>
        <w:tblW w:w="0" w:type="auto"/>
        <w:jc w:val="center"/>
        <w:tblLook w:val="04A0"/>
      </w:tblPr>
      <w:tblGrid>
        <w:gridCol w:w="4077"/>
        <w:gridCol w:w="993"/>
        <w:gridCol w:w="1590"/>
        <w:gridCol w:w="1843"/>
      </w:tblGrid>
      <w:tr w:rsidR="00656AC8" w:rsidRPr="00636553" w:rsidTr="00E6403E">
        <w:trPr>
          <w:jc w:val="center"/>
        </w:trPr>
        <w:tc>
          <w:tcPr>
            <w:tcW w:w="4077" w:type="dxa"/>
          </w:tcPr>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propriétés</w:t>
            </w:r>
          </w:p>
        </w:tc>
        <w:tc>
          <w:tcPr>
            <w:tcW w:w="993" w:type="dxa"/>
          </w:tcPr>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unité</w:t>
            </w:r>
          </w:p>
        </w:tc>
        <w:tc>
          <w:tcPr>
            <w:tcW w:w="1590" w:type="dxa"/>
          </w:tcPr>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valeur</w:t>
            </w:r>
          </w:p>
        </w:tc>
        <w:tc>
          <w:tcPr>
            <w:tcW w:w="1843" w:type="dxa"/>
          </w:tcPr>
          <w:p w:rsidR="00656AC8" w:rsidRPr="00636553"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Normes</w:t>
            </w:r>
          </w:p>
        </w:tc>
      </w:tr>
      <w:tr w:rsidR="00656AC8" w:rsidRPr="00636553" w:rsidTr="00E6403E">
        <w:trPr>
          <w:jc w:val="center"/>
        </w:trPr>
        <w:tc>
          <w:tcPr>
            <w:tcW w:w="4077" w:type="dxa"/>
          </w:tcPr>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Couleur</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Densité 15/4</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Distillation</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65</w:t>
            </w:r>
            <w:r>
              <w:rPr>
                <w:rFonts w:asciiTheme="majorBidi" w:hAnsiTheme="majorBidi" w:cstheme="majorBidi"/>
                <w:sz w:val="24"/>
                <w:szCs w:val="24"/>
              </w:rPr>
              <w:t>%</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90%</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PF</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Point d’éclair</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Point d’écoulement 01/11 au 31/03</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Point d’écoulement 01/04 au 31/10</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Indice de cétane</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Teneur en cendre</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Teneur en eau</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Viscosité à 20°C</w:t>
            </w:r>
          </w:p>
          <w:p w:rsidR="00656AC8" w:rsidRPr="00636553"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Teneur en soufre</w:t>
            </w:r>
          </w:p>
        </w:tc>
        <w:tc>
          <w:tcPr>
            <w:tcW w:w="993" w:type="dxa"/>
          </w:tcPr>
          <w:p w:rsidR="00656AC8" w:rsidRPr="00A504A4" w:rsidRDefault="00656AC8" w:rsidP="00F80F9A">
            <w:pPr>
              <w:spacing w:line="360" w:lineRule="auto"/>
              <w:jc w:val="both"/>
              <w:rPr>
                <w:lang w:val="en-US"/>
              </w:rPr>
            </w:pP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g/cm</w:t>
            </w:r>
            <w:r w:rsidRPr="00A504A4">
              <w:rPr>
                <w:rFonts w:asciiTheme="majorBidi" w:hAnsiTheme="majorBidi" w:cstheme="majorBidi"/>
                <w:sz w:val="24"/>
                <w:szCs w:val="24"/>
                <w:vertAlign w:val="superscript"/>
                <w:lang w:val="en-US"/>
              </w:rPr>
              <w:t>3</w:t>
            </w:r>
          </w:p>
          <w:p w:rsidR="00656AC8" w:rsidRPr="00A504A4" w:rsidRDefault="00656AC8" w:rsidP="00F80F9A">
            <w:pPr>
              <w:spacing w:line="360" w:lineRule="auto"/>
              <w:jc w:val="both"/>
              <w:rPr>
                <w:rFonts w:asciiTheme="majorBidi" w:hAnsiTheme="majorBidi" w:cstheme="majorBidi"/>
                <w:sz w:val="24"/>
                <w:szCs w:val="24"/>
                <w:lang w:val="en-US"/>
              </w:rPr>
            </w:pP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°C</w:t>
            </w:r>
          </w:p>
          <w:p w:rsidR="00656AC8" w:rsidRPr="00A504A4" w:rsidRDefault="00656AC8" w:rsidP="00F80F9A">
            <w:pPr>
              <w:spacing w:line="360" w:lineRule="auto"/>
              <w:jc w:val="both"/>
              <w:rPr>
                <w:rFonts w:asciiTheme="majorBidi" w:hAnsiTheme="majorBidi" w:cstheme="majorBidi"/>
                <w:sz w:val="24"/>
                <w:szCs w:val="24"/>
                <w:lang w:val="en-US"/>
              </w:rPr>
            </w:pPr>
          </w:p>
          <w:p w:rsidR="00656AC8" w:rsidRPr="00A504A4" w:rsidRDefault="00656AC8" w:rsidP="00F80F9A">
            <w:pPr>
              <w:spacing w:line="360" w:lineRule="auto"/>
              <w:jc w:val="both"/>
              <w:rPr>
                <w:rFonts w:asciiTheme="majorBidi" w:hAnsiTheme="majorBidi" w:cstheme="majorBidi"/>
                <w:sz w:val="24"/>
                <w:szCs w:val="24"/>
                <w:lang w:val="en-US"/>
              </w:rPr>
            </w:pPr>
            <w:r w:rsidRPr="00A504A4">
              <w:rPr>
                <w:rFonts w:asciiTheme="majorBidi" w:hAnsiTheme="majorBidi" w:cstheme="majorBidi"/>
                <w:sz w:val="24"/>
                <w:szCs w:val="24"/>
                <w:lang w:val="en-US"/>
              </w:rPr>
              <w:t>%Pds</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%Vol</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mm</w:t>
            </w:r>
            <w:r>
              <w:rPr>
                <w:rFonts w:asciiTheme="majorBidi" w:hAnsiTheme="majorBidi" w:cstheme="majorBidi"/>
                <w:sz w:val="24"/>
                <w:szCs w:val="24"/>
                <w:vertAlign w:val="superscript"/>
              </w:rPr>
              <w:t>2</w:t>
            </w:r>
            <w:r>
              <w:rPr>
                <w:rFonts w:asciiTheme="majorBidi" w:hAnsiTheme="majorBidi" w:cstheme="majorBidi"/>
                <w:sz w:val="24"/>
                <w:szCs w:val="24"/>
              </w:rPr>
              <w:t>/s</w:t>
            </w:r>
          </w:p>
          <w:p w:rsidR="00656AC8" w:rsidRPr="00636553"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%Pds</w:t>
            </w:r>
          </w:p>
        </w:tc>
        <w:tc>
          <w:tcPr>
            <w:tcW w:w="1590" w:type="dxa"/>
          </w:tcPr>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2,5 max</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0,81-0,68</w:t>
            </w:r>
          </w:p>
          <w:p w:rsidR="00656AC8" w:rsidRDefault="00656AC8" w:rsidP="00F80F9A">
            <w:pPr>
              <w:spacing w:line="360" w:lineRule="auto"/>
              <w:jc w:val="both"/>
              <w:rPr>
                <w:rFonts w:asciiTheme="majorBidi" w:hAnsiTheme="majorBidi" w:cstheme="majorBidi"/>
                <w:sz w:val="24"/>
                <w:szCs w:val="24"/>
              </w:rPr>
            </w:pP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250 min</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350 max</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390 max</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55min</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-12 max</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-7 max</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48 min</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TND</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TND</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9 max</w:t>
            </w:r>
          </w:p>
          <w:p w:rsidR="00656AC8" w:rsidRPr="00636553"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0,15max</w:t>
            </w:r>
          </w:p>
        </w:tc>
        <w:tc>
          <w:tcPr>
            <w:tcW w:w="1843" w:type="dxa"/>
          </w:tcPr>
          <w:p w:rsidR="00656AC8" w:rsidRDefault="00656AC8" w:rsidP="00F80F9A">
            <w:pPr>
              <w:spacing w:line="360" w:lineRule="auto"/>
              <w:jc w:val="both"/>
              <w:rPr>
                <w:rFonts w:asciiTheme="majorBidi" w:hAnsiTheme="majorBidi" w:cstheme="majorBidi"/>
                <w:sz w:val="24"/>
                <w:szCs w:val="24"/>
              </w:rPr>
            </w:pPr>
            <w:r w:rsidRPr="00636553">
              <w:rPr>
                <w:rFonts w:asciiTheme="majorBidi" w:hAnsiTheme="majorBidi" w:cstheme="majorBidi"/>
                <w:sz w:val="24"/>
                <w:szCs w:val="24"/>
              </w:rPr>
              <w:t>ASTM D1500</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D4052</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D86</w:t>
            </w:r>
          </w:p>
          <w:p w:rsidR="00656AC8" w:rsidRDefault="00656AC8" w:rsidP="00F80F9A">
            <w:pPr>
              <w:spacing w:line="360" w:lineRule="auto"/>
              <w:jc w:val="both"/>
              <w:rPr>
                <w:rFonts w:asciiTheme="majorBidi" w:hAnsiTheme="majorBidi" w:cstheme="majorBidi"/>
                <w:sz w:val="24"/>
                <w:szCs w:val="24"/>
              </w:rPr>
            </w:pPr>
          </w:p>
          <w:p w:rsidR="00656AC8" w:rsidRDefault="00656AC8" w:rsidP="00F80F9A">
            <w:pPr>
              <w:spacing w:line="360" w:lineRule="auto"/>
              <w:jc w:val="both"/>
              <w:rPr>
                <w:rFonts w:asciiTheme="majorBidi" w:hAnsiTheme="majorBidi" w:cstheme="majorBidi"/>
                <w:sz w:val="24"/>
                <w:szCs w:val="24"/>
              </w:rPr>
            </w:pPr>
          </w:p>
          <w:p w:rsidR="00656AC8" w:rsidRDefault="00656AC8" w:rsidP="00F80F9A">
            <w:pPr>
              <w:spacing w:line="360" w:lineRule="auto"/>
              <w:jc w:val="both"/>
              <w:rPr>
                <w:rFonts w:asciiTheme="majorBidi" w:hAnsiTheme="majorBidi" w:cstheme="majorBidi"/>
                <w:sz w:val="24"/>
                <w:szCs w:val="24"/>
              </w:rPr>
            </w:pP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D93</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D97</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D97</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D976</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D482</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D95</w:t>
            </w:r>
          </w:p>
          <w:p w:rsidR="00656AC8"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D445</w:t>
            </w:r>
          </w:p>
          <w:p w:rsidR="00656AC8" w:rsidRPr="00636553" w:rsidRDefault="00656AC8" w:rsidP="00F80F9A">
            <w:pPr>
              <w:spacing w:line="360" w:lineRule="auto"/>
              <w:jc w:val="both"/>
              <w:rPr>
                <w:rFonts w:asciiTheme="majorBidi" w:hAnsiTheme="majorBidi" w:cstheme="majorBidi"/>
                <w:sz w:val="24"/>
                <w:szCs w:val="24"/>
              </w:rPr>
            </w:pPr>
            <w:r>
              <w:rPr>
                <w:rFonts w:asciiTheme="majorBidi" w:hAnsiTheme="majorBidi" w:cstheme="majorBidi"/>
                <w:sz w:val="24"/>
                <w:szCs w:val="24"/>
              </w:rPr>
              <w:t>ASTM D4294</w:t>
            </w:r>
          </w:p>
        </w:tc>
      </w:tr>
    </w:tbl>
    <w:p w:rsidR="00656AC8" w:rsidRPr="00805E5D" w:rsidRDefault="00656AC8" w:rsidP="000B768D">
      <w:pPr>
        <w:spacing w:line="360" w:lineRule="auto"/>
        <w:jc w:val="center"/>
        <w:rPr>
          <w:rFonts w:asciiTheme="majorBidi" w:hAnsiTheme="majorBidi" w:cstheme="majorBidi"/>
          <w:b/>
          <w:bCs/>
          <w:u w:val="single"/>
        </w:rPr>
      </w:pPr>
      <w:r w:rsidRPr="00805E5D">
        <w:rPr>
          <w:rFonts w:asciiTheme="majorBidi" w:hAnsiTheme="majorBidi" w:cstheme="majorBidi"/>
          <w:b/>
          <w:bCs/>
          <w:u w:val="single"/>
        </w:rPr>
        <w:t>Tableau.</w:t>
      </w:r>
      <w:r>
        <w:rPr>
          <w:rFonts w:asciiTheme="majorBidi" w:hAnsiTheme="majorBidi" w:cstheme="majorBidi"/>
          <w:b/>
          <w:bCs/>
          <w:u w:val="single"/>
        </w:rPr>
        <w:t>I.</w:t>
      </w:r>
      <w:r w:rsidRPr="00805E5D">
        <w:rPr>
          <w:rFonts w:asciiTheme="majorBidi" w:hAnsiTheme="majorBidi" w:cstheme="majorBidi"/>
          <w:b/>
          <w:bCs/>
          <w:u w:val="single"/>
        </w:rPr>
        <w:t xml:space="preserve">2. spécification du gasoil selon les normes Algériennes </w:t>
      </w:r>
      <w:r w:rsidRPr="00805E5D">
        <w:rPr>
          <w:rFonts w:asciiTheme="majorBidi" w:hAnsiTheme="majorBidi" w:cstheme="majorBidi"/>
        </w:rPr>
        <w:t>[</w:t>
      </w:r>
      <w:r>
        <w:rPr>
          <w:rFonts w:asciiTheme="majorBidi" w:hAnsiTheme="majorBidi" w:cstheme="majorBidi"/>
        </w:rPr>
        <w:t>33</w:t>
      </w:r>
      <w:r w:rsidRPr="00805E5D">
        <w:rPr>
          <w:rFonts w:asciiTheme="majorBidi" w:hAnsiTheme="majorBidi" w:cstheme="majorBidi"/>
        </w:rPr>
        <w:t>]</w:t>
      </w:r>
    </w:p>
    <w:p w:rsidR="00E6403E" w:rsidRDefault="00E6403E" w:rsidP="00F80F9A">
      <w:pPr>
        <w:spacing w:line="360" w:lineRule="auto"/>
        <w:jc w:val="both"/>
        <w:rPr>
          <w:rFonts w:asciiTheme="majorBidi" w:hAnsiTheme="majorBidi" w:cstheme="majorBidi"/>
          <w:b/>
          <w:bCs/>
          <w:u w:val="single"/>
        </w:rPr>
      </w:pPr>
    </w:p>
    <w:p w:rsidR="00656AC8" w:rsidRPr="00F531EB" w:rsidRDefault="00656AC8" w:rsidP="00F80F9A">
      <w:pPr>
        <w:spacing w:line="360" w:lineRule="auto"/>
        <w:jc w:val="both"/>
        <w:rPr>
          <w:rFonts w:asciiTheme="majorBidi" w:hAnsiTheme="majorBidi" w:cstheme="majorBidi"/>
          <w:b/>
          <w:bCs/>
        </w:rPr>
      </w:pPr>
      <w:r w:rsidRPr="00F531EB">
        <w:rPr>
          <w:rFonts w:asciiTheme="majorBidi" w:hAnsiTheme="majorBidi" w:cstheme="majorBidi"/>
          <w:b/>
          <w:bCs/>
        </w:rPr>
        <w:t>2. Spécification Européennes :</w:t>
      </w:r>
    </w:p>
    <w:tbl>
      <w:tblPr>
        <w:tblStyle w:val="Grilledutableau"/>
        <w:tblW w:w="0" w:type="auto"/>
        <w:jc w:val="center"/>
        <w:tblLook w:val="04A0"/>
      </w:tblPr>
      <w:tblGrid>
        <w:gridCol w:w="2093"/>
        <w:gridCol w:w="1701"/>
        <w:gridCol w:w="1701"/>
        <w:gridCol w:w="1701"/>
        <w:gridCol w:w="2016"/>
      </w:tblGrid>
      <w:tr w:rsidR="00656AC8" w:rsidTr="00E6403E">
        <w:trPr>
          <w:jc w:val="center"/>
        </w:trPr>
        <w:tc>
          <w:tcPr>
            <w:tcW w:w="2093" w:type="dxa"/>
          </w:tcPr>
          <w:p w:rsidR="00656AC8" w:rsidRDefault="00656AC8" w:rsidP="00F80F9A">
            <w:pPr>
              <w:jc w:val="both"/>
            </w:pPr>
            <w:r>
              <w:rPr>
                <w:rFonts w:asciiTheme="majorBidi" w:hAnsiTheme="majorBidi" w:cstheme="majorBidi"/>
                <w:sz w:val="24"/>
                <w:szCs w:val="24"/>
              </w:rPr>
              <w:t>C</w:t>
            </w:r>
            <w:r w:rsidRPr="00B377B9">
              <w:rPr>
                <w:rFonts w:asciiTheme="majorBidi" w:hAnsiTheme="majorBidi" w:cstheme="majorBidi"/>
                <w:sz w:val="24"/>
                <w:szCs w:val="24"/>
              </w:rPr>
              <w:t>aractéristiques</w:t>
            </w:r>
          </w:p>
        </w:tc>
        <w:tc>
          <w:tcPr>
            <w:tcW w:w="1701" w:type="dxa"/>
          </w:tcPr>
          <w:p w:rsidR="00656AC8" w:rsidRDefault="00656AC8" w:rsidP="00F80F9A">
            <w:pPr>
              <w:jc w:val="both"/>
            </w:pPr>
            <w:r w:rsidRPr="00B377B9">
              <w:rPr>
                <w:rFonts w:asciiTheme="majorBidi" w:hAnsiTheme="majorBidi" w:cstheme="majorBidi"/>
                <w:sz w:val="24"/>
                <w:szCs w:val="24"/>
              </w:rPr>
              <w:t>Unité</w:t>
            </w:r>
          </w:p>
        </w:tc>
        <w:tc>
          <w:tcPr>
            <w:tcW w:w="1701" w:type="dxa"/>
          </w:tcPr>
          <w:p w:rsidR="00656AC8" w:rsidRDefault="00656AC8" w:rsidP="00F80F9A">
            <w:pPr>
              <w:jc w:val="both"/>
            </w:pPr>
            <w:r w:rsidRPr="00B377B9">
              <w:rPr>
                <w:rFonts w:asciiTheme="majorBidi" w:hAnsiTheme="majorBidi" w:cstheme="majorBidi"/>
                <w:sz w:val="24"/>
                <w:szCs w:val="24"/>
              </w:rPr>
              <w:t>Année 2000</w:t>
            </w:r>
          </w:p>
        </w:tc>
        <w:tc>
          <w:tcPr>
            <w:tcW w:w="1701" w:type="dxa"/>
          </w:tcPr>
          <w:p w:rsidR="00656AC8" w:rsidRDefault="00656AC8" w:rsidP="00F80F9A">
            <w:pPr>
              <w:jc w:val="both"/>
            </w:pPr>
            <w:r w:rsidRPr="00B377B9">
              <w:rPr>
                <w:rFonts w:asciiTheme="majorBidi" w:hAnsiTheme="majorBidi" w:cstheme="majorBidi"/>
                <w:sz w:val="24"/>
                <w:szCs w:val="24"/>
              </w:rPr>
              <w:t>Année 2005</w:t>
            </w:r>
          </w:p>
        </w:tc>
        <w:tc>
          <w:tcPr>
            <w:tcW w:w="2016" w:type="dxa"/>
          </w:tcPr>
          <w:p w:rsidR="00656AC8" w:rsidRDefault="00656AC8" w:rsidP="00F80F9A">
            <w:pPr>
              <w:jc w:val="both"/>
            </w:pPr>
            <w:r w:rsidRPr="00B377B9">
              <w:rPr>
                <w:rFonts w:asciiTheme="majorBidi" w:hAnsiTheme="majorBidi" w:cstheme="majorBidi"/>
                <w:sz w:val="24"/>
                <w:szCs w:val="24"/>
              </w:rPr>
              <w:t>Année 2009</w:t>
            </w:r>
          </w:p>
        </w:tc>
      </w:tr>
      <w:tr w:rsidR="00656AC8" w:rsidTr="00E6403E">
        <w:trPr>
          <w:jc w:val="center"/>
        </w:trPr>
        <w:tc>
          <w:tcPr>
            <w:tcW w:w="2093" w:type="dxa"/>
          </w:tcPr>
          <w:p w:rsidR="00656AC8" w:rsidRDefault="00656AC8" w:rsidP="00F80F9A">
            <w:pPr>
              <w:jc w:val="both"/>
            </w:pPr>
            <w:r w:rsidRPr="00B377B9">
              <w:rPr>
                <w:rFonts w:asciiTheme="majorBidi" w:hAnsiTheme="majorBidi" w:cstheme="majorBidi"/>
                <w:sz w:val="24"/>
                <w:szCs w:val="24"/>
              </w:rPr>
              <w:t>Masse volumique</w:t>
            </w:r>
          </w:p>
        </w:tc>
        <w:tc>
          <w:tcPr>
            <w:tcW w:w="1701" w:type="dxa"/>
          </w:tcPr>
          <w:p w:rsidR="00656AC8" w:rsidRDefault="00656AC8" w:rsidP="00F80F9A">
            <w:pPr>
              <w:jc w:val="both"/>
            </w:pPr>
            <w:r w:rsidRPr="00B377B9">
              <w:rPr>
                <w:rFonts w:asciiTheme="majorBidi" w:hAnsiTheme="majorBidi" w:cstheme="majorBidi"/>
                <w:sz w:val="24"/>
                <w:szCs w:val="24"/>
              </w:rPr>
              <w:t>Kg/m</w:t>
            </w:r>
            <w:r w:rsidRPr="00B377B9">
              <w:rPr>
                <w:rFonts w:asciiTheme="majorBidi" w:hAnsiTheme="majorBidi" w:cstheme="majorBidi"/>
                <w:sz w:val="24"/>
                <w:szCs w:val="24"/>
                <w:vertAlign w:val="superscript"/>
              </w:rPr>
              <w:t>3</w:t>
            </w:r>
          </w:p>
        </w:tc>
        <w:tc>
          <w:tcPr>
            <w:tcW w:w="1701" w:type="dxa"/>
          </w:tcPr>
          <w:p w:rsidR="00656AC8" w:rsidRDefault="00656AC8" w:rsidP="00F80F9A">
            <w:pPr>
              <w:jc w:val="both"/>
            </w:pPr>
            <w:r w:rsidRPr="00B377B9">
              <w:rPr>
                <w:rFonts w:asciiTheme="majorBidi" w:hAnsiTheme="majorBidi" w:cstheme="majorBidi"/>
                <w:sz w:val="24"/>
                <w:szCs w:val="24"/>
              </w:rPr>
              <w:t>845 max</w:t>
            </w:r>
          </w:p>
        </w:tc>
        <w:tc>
          <w:tcPr>
            <w:tcW w:w="1701" w:type="dxa"/>
          </w:tcPr>
          <w:p w:rsidR="00656AC8" w:rsidRDefault="00656AC8" w:rsidP="00F80F9A">
            <w:pPr>
              <w:jc w:val="both"/>
            </w:pPr>
            <w:r w:rsidRPr="00B377B9">
              <w:rPr>
                <w:rFonts w:asciiTheme="majorBidi" w:hAnsiTheme="majorBidi" w:cstheme="majorBidi"/>
                <w:sz w:val="24"/>
                <w:szCs w:val="24"/>
              </w:rPr>
              <w:t>845 max</w:t>
            </w:r>
          </w:p>
        </w:tc>
        <w:tc>
          <w:tcPr>
            <w:tcW w:w="2016" w:type="dxa"/>
          </w:tcPr>
          <w:p w:rsidR="00656AC8" w:rsidRDefault="00656AC8" w:rsidP="00F80F9A">
            <w:pPr>
              <w:jc w:val="both"/>
            </w:pPr>
            <w:r w:rsidRPr="00B377B9">
              <w:rPr>
                <w:rFonts w:asciiTheme="majorBidi" w:hAnsiTheme="majorBidi" w:cstheme="majorBidi"/>
                <w:sz w:val="24"/>
                <w:szCs w:val="24"/>
              </w:rPr>
              <w:t>845 max</w:t>
            </w:r>
          </w:p>
        </w:tc>
      </w:tr>
      <w:tr w:rsidR="00656AC8" w:rsidTr="00E6403E">
        <w:trPr>
          <w:jc w:val="center"/>
        </w:trPr>
        <w:tc>
          <w:tcPr>
            <w:tcW w:w="2093" w:type="dxa"/>
          </w:tcPr>
          <w:p w:rsidR="00656AC8" w:rsidRDefault="00656AC8" w:rsidP="00F80F9A">
            <w:pPr>
              <w:jc w:val="both"/>
            </w:pPr>
            <w:r w:rsidRPr="00B377B9">
              <w:rPr>
                <w:rFonts w:asciiTheme="majorBidi" w:hAnsiTheme="majorBidi" w:cstheme="majorBidi"/>
                <w:sz w:val="24"/>
                <w:szCs w:val="24"/>
              </w:rPr>
              <w:t>Indice de Cétane</w:t>
            </w:r>
          </w:p>
        </w:tc>
        <w:tc>
          <w:tcPr>
            <w:tcW w:w="1701" w:type="dxa"/>
          </w:tcPr>
          <w:p w:rsidR="00656AC8" w:rsidRDefault="00656AC8" w:rsidP="00F80F9A">
            <w:pPr>
              <w:jc w:val="both"/>
            </w:pPr>
          </w:p>
        </w:tc>
        <w:tc>
          <w:tcPr>
            <w:tcW w:w="1701" w:type="dxa"/>
          </w:tcPr>
          <w:p w:rsidR="00656AC8" w:rsidRDefault="00656AC8" w:rsidP="00F80F9A">
            <w:pPr>
              <w:jc w:val="both"/>
            </w:pPr>
            <w:r w:rsidRPr="00B377B9">
              <w:rPr>
                <w:rFonts w:asciiTheme="majorBidi" w:hAnsiTheme="majorBidi" w:cstheme="majorBidi"/>
                <w:sz w:val="24"/>
                <w:szCs w:val="24"/>
              </w:rPr>
              <w:t>51 min</w:t>
            </w:r>
          </w:p>
        </w:tc>
        <w:tc>
          <w:tcPr>
            <w:tcW w:w="1701" w:type="dxa"/>
          </w:tcPr>
          <w:p w:rsidR="00656AC8" w:rsidRDefault="00656AC8" w:rsidP="00F80F9A">
            <w:pPr>
              <w:jc w:val="both"/>
            </w:pPr>
            <w:r w:rsidRPr="00B377B9">
              <w:rPr>
                <w:rFonts w:asciiTheme="majorBidi" w:hAnsiTheme="majorBidi" w:cstheme="majorBidi"/>
                <w:sz w:val="24"/>
                <w:szCs w:val="24"/>
              </w:rPr>
              <w:t>51 min</w:t>
            </w:r>
          </w:p>
        </w:tc>
        <w:tc>
          <w:tcPr>
            <w:tcW w:w="2016" w:type="dxa"/>
          </w:tcPr>
          <w:p w:rsidR="00656AC8" w:rsidRDefault="00656AC8" w:rsidP="00F80F9A">
            <w:pPr>
              <w:jc w:val="both"/>
            </w:pPr>
            <w:r w:rsidRPr="00B377B9">
              <w:rPr>
                <w:rFonts w:asciiTheme="majorBidi" w:hAnsiTheme="majorBidi" w:cstheme="majorBidi"/>
                <w:sz w:val="24"/>
                <w:szCs w:val="24"/>
              </w:rPr>
              <w:t>51 min</w:t>
            </w:r>
          </w:p>
        </w:tc>
      </w:tr>
      <w:tr w:rsidR="00656AC8" w:rsidTr="00E6403E">
        <w:trPr>
          <w:jc w:val="center"/>
        </w:trPr>
        <w:tc>
          <w:tcPr>
            <w:tcW w:w="2093" w:type="dxa"/>
          </w:tcPr>
          <w:p w:rsidR="00656AC8" w:rsidRDefault="00656AC8" w:rsidP="00F80F9A">
            <w:pPr>
              <w:jc w:val="both"/>
            </w:pPr>
            <w:r w:rsidRPr="00B377B9">
              <w:rPr>
                <w:rFonts w:asciiTheme="majorBidi" w:hAnsiTheme="majorBidi" w:cstheme="majorBidi"/>
                <w:sz w:val="24"/>
                <w:szCs w:val="24"/>
              </w:rPr>
              <w:t>Distillation ASTM D86</w:t>
            </w:r>
          </w:p>
        </w:tc>
        <w:tc>
          <w:tcPr>
            <w:tcW w:w="1701" w:type="dxa"/>
          </w:tcPr>
          <w:p w:rsidR="00656AC8" w:rsidRDefault="00656AC8" w:rsidP="00F80F9A">
            <w:pPr>
              <w:jc w:val="both"/>
            </w:pPr>
          </w:p>
        </w:tc>
        <w:tc>
          <w:tcPr>
            <w:tcW w:w="1701" w:type="dxa"/>
          </w:tcPr>
          <w:p w:rsidR="00656AC8" w:rsidRDefault="00656AC8" w:rsidP="00F80F9A">
            <w:pPr>
              <w:jc w:val="both"/>
            </w:pPr>
            <w:r w:rsidRPr="00B377B9">
              <w:rPr>
                <w:rFonts w:asciiTheme="majorBidi" w:hAnsiTheme="majorBidi" w:cstheme="majorBidi"/>
                <w:sz w:val="24"/>
                <w:szCs w:val="24"/>
              </w:rPr>
              <w:t>360 °C max</w:t>
            </w:r>
          </w:p>
        </w:tc>
        <w:tc>
          <w:tcPr>
            <w:tcW w:w="1701" w:type="dxa"/>
          </w:tcPr>
          <w:p w:rsidR="00656AC8" w:rsidRDefault="00656AC8" w:rsidP="00F80F9A">
            <w:pPr>
              <w:jc w:val="both"/>
            </w:pPr>
            <w:r w:rsidRPr="00B377B9">
              <w:rPr>
                <w:rFonts w:asciiTheme="majorBidi" w:hAnsiTheme="majorBidi" w:cstheme="majorBidi"/>
                <w:sz w:val="24"/>
                <w:szCs w:val="24"/>
              </w:rPr>
              <w:t>360 °C max</w:t>
            </w:r>
          </w:p>
        </w:tc>
        <w:tc>
          <w:tcPr>
            <w:tcW w:w="2016" w:type="dxa"/>
          </w:tcPr>
          <w:p w:rsidR="00656AC8" w:rsidRDefault="00656AC8" w:rsidP="00F80F9A">
            <w:pPr>
              <w:jc w:val="both"/>
            </w:pPr>
            <w:r w:rsidRPr="00B377B9">
              <w:rPr>
                <w:rFonts w:asciiTheme="majorBidi" w:hAnsiTheme="majorBidi" w:cstheme="majorBidi"/>
                <w:sz w:val="24"/>
                <w:szCs w:val="24"/>
              </w:rPr>
              <w:t>360 °C max</w:t>
            </w:r>
          </w:p>
        </w:tc>
      </w:tr>
      <w:tr w:rsidR="00656AC8" w:rsidTr="00E6403E">
        <w:trPr>
          <w:jc w:val="center"/>
        </w:trPr>
        <w:tc>
          <w:tcPr>
            <w:tcW w:w="2093" w:type="dxa"/>
          </w:tcPr>
          <w:p w:rsidR="00656AC8" w:rsidRPr="00B377B9" w:rsidRDefault="00656AC8" w:rsidP="00F80F9A">
            <w:pPr>
              <w:jc w:val="both"/>
              <w:rPr>
                <w:rFonts w:asciiTheme="majorBidi" w:hAnsiTheme="majorBidi" w:cstheme="majorBidi"/>
                <w:sz w:val="24"/>
                <w:szCs w:val="24"/>
              </w:rPr>
            </w:pPr>
            <w:r w:rsidRPr="00B377B9">
              <w:rPr>
                <w:rFonts w:asciiTheme="majorBidi" w:hAnsiTheme="majorBidi" w:cstheme="majorBidi"/>
                <w:sz w:val="24"/>
                <w:szCs w:val="24"/>
              </w:rPr>
              <w:t>Teneur en soufre</w:t>
            </w:r>
          </w:p>
        </w:tc>
        <w:tc>
          <w:tcPr>
            <w:tcW w:w="1701" w:type="dxa"/>
          </w:tcPr>
          <w:p w:rsidR="00656AC8" w:rsidRDefault="00656AC8" w:rsidP="00F80F9A">
            <w:pPr>
              <w:jc w:val="both"/>
            </w:pPr>
            <w:r>
              <w:t>ppm</w:t>
            </w:r>
          </w:p>
        </w:tc>
        <w:tc>
          <w:tcPr>
            <w:tcW w:w="1701" w:type="dxa"/>
          </w:tcPr>
          <w:p w:rsidR="00656AC8" w:rsidRPr="00B377B9" w:rsidRDefault="00656AC8" w:rsidP="00F80F9A">
            <w:pPr>
              <w:jc w:val="both"/>
              <w:rPr>
                <w:rFonts w:asciiTheme="majorBidi" w:hAnsiTheme="majorBidi" w:cstheme="majorBidi"/>
                <w:sz w:val="24"/>
                <w:szCs w:val="24"/>
              </w:rPr>
            </w:pPr>
            <w:r>
              <w:rPr>
                <w:rFonts w:asciiTheme="majorBidi" w:hAnsiTheme="majorBidi" w:cstheme="majorBidi"/>
                <w:sz w:val="24"/>
                <w:szCs w:val="24"/>
              </w:rPr>
              <w:t>350</w:t>
            </w:r>
          </w:p>
        </w:tc>
        <w:tc>
          <w:tcPr>
            <w:tcW w:w="1701" w:type="dxa"/>
          </w:tcPr>
          <w:p w:rsidR="00656AC8" w:rsidRPr="00B377B9" w:rsidRDefault="00656AC8" w:rsidP="00F80F9A">
            <w:pPr>
              <w:jc w:val="both"/>
              <w:rPr>
                <w:rFonts w:asciiTheme="majorBidi" w:hAnsiTheme="majorBidi" w:cstheme="majorBidi"/>
                <w:sz w:val="24"/>
                <w:szCs w:val="24"/>
              </w:rPr>
            </w:pPr>
            <w:r>
              <w:rPr>
                <w:rFonts w:asciiTheme="majorBidi" w:hAnsiTheme="majorBidi" w:cstheme="majorBidi"/>
                <w:sz w:val="24"/>
                <w:szCs w:val="24"/>
              </w:rPr>
              <w:t>50</w:t>
            </w:r>
          </w:p>
        </w:tc>
        <w:tc>
          <w:tcPr>
            <w:tcW w:w="2016" w:type="dxa"/>
          </w:tcPr>
          <w:p w:rsidR="00656AC8" w:rsidRPr="00B377B9" w:rsidRDefault="00656AC8" w:rsidP="00F80F9A">
            <w:pPr>
              <w:jc w:val="both"/>
              <w:rPr>
                <w:rFonts w:asciiTheme="majorBidi" w:hAnsiTheme="majorBidi" w:cstheme="majorBidi"/>
                <w:sz w:val="24"/>
                <w:szCs w:val="24"/>
              </w:rPr>
            </w:pPr>
            <w:r>
              <w:rPr>
                <w:rFonts w:asciiTheme="majorBidi" w:hAnsiTheme="majorBidi" w:cstheme="majorBidi"/>
                <w:sz w:val="24"/>
                <w:szCs w:val="24"/>
              </w:rPr>
              <w:t>10</w:t>
            </w:r>
          </w:p>
        </w:tc>
      </w:tr>
    </w:tbl>
    <w:p w:rsidR="00656AC8" w:rsidRPr="00805E5D" w:rsidRDefault="00656AC8" w:rsidP="000B768D">
      <w:pPr>
        <w:spacing w:line="360" w:lineRule="auto"/>
        <w:jc w:val="center"/>
        <w:rPr>
          <w:rFonts w:asciiTheme="majorBidi" w:hAnsiTheme="majorBidi" w:cstheme="majorBidi"/>
          <w:sz w:val="28"/>
          <w:szCs w:val="28"/>
        </w:rPr>
      </w:pPr>
      <w:r w:rsidRPr="00805E5D">
        <w:rPr>
          <w:rFonts w:asciiTheme="majorBidi" w:hAnsiTheme="majorBidi" w:cstheme="majorBidi"/>
          <w:b/>
          <w:bCs/>
          <w:u w:val="single"/>
        </w:rPr>
        <w:t>Tableau.</w:t>
      </w:r>
      <w:r>
        <w:rPr>
          <w:rFonts w:asciiTheme="majorBidi" w:hAnsiTheme="majorBidi" w:cstheme="majorBidi"/>
          <w:b/>
          <w:bCs/>
          <w:u w:val="single"/>
        </w:rPr>
        <w:t>I.</w:t>
      </w:r>
      <w:r w:rsidRPr="00805E5D">
        <w:rPr>
          <w:rFonts w:asciiTheme="majorBidi" w:hAnsiTheme="majorBidi" w:cstheme="majorBidi"/>
          <w:b/>
          <w:bCs/>
          <w:u w:val="single"/>
        </w:rPr>
        <w:t xml:space="preserve">3. spécification du gasoil selon les normes </w:t>
      </w:r>
      <w:r>
        <w:rPr>
          <w:rFonts w:asciiTheme="majorBidi" w:hAnsiTheme="majorBidi" w:cstheme="majorBidi"/>
          <w:b/>
          <w:bCs/>
          <w:u w:val="single"/>
        </w:rPr>
        <w:t>Européennes</w:t>
      </w:r>
      <w:r w:rsidRPr="00805E5D">
        <w:rPr>
          <w:rFonts w:asciiTheme="majorBidi" w:hAnsiTheme="majorBidi" w:cstheme="majorBidi"/>
          <w:b/>
          <w:bCs/>
          <w:u w:val="single"/>
        </w:rPr>
        <w:t xml:space="preserve"> </w:t>
      </w:r>
      <w:r w:rsidRPr="00805E5D">
        <w:rPr>
          <w:rFonts w:asciiTheme="majorBidi" w:hAnsiTheme="majorBidi" w:cstheme="majorBidi"/>
        </w:rPr>
        <w:t>[1</w:t>
      </w:r>
      <w:r>
        <w:rPr>
          <w:rFonts w:asciiTheme="majorBidi" w:hAnsiTheme="majorBidi" w:cstheme="majorBidi"/>
        </w:rPr>
        <w:t>,16,33</w:t>
      </w:r>
      <w:r w:rsidRPr="00805E5D">
        <w:rPr>
          <w:rFonts w:asciiTheme="majorBidi" w:hAnsiTheme="majorBidi" w:cstheme="majorBidi"/>
        </w:rPr>
        <w:t>]</w:t>
      </w:r>
    </w:p>
    <w:p w:rsidR="00656AC8" w:rsidRDefault="00656AC8" w:rsidP="00F80F9A">
      <w:pPr>
        <w:spacing w:line="360" w:lineRule="auto"/>
        <w:jc w:val="both"/>
        <w:rPr>
          <w:rFonts w:asciiTheme="majorBidi" w:hAnsiTheme="majorBidi" w:cstheme="majorBidi"/>
          <w:b/>
          <w:bCs/>
          <w:sz w:val="28"/>
          <w:szCs w:val="28"/>
          <w:u w:val="single"/>
        </w:rPr>
      </w:pPr>
    </w:p>
    <w:p w:rsidR="00656AC8" w:rsidRPr="00F531EB" w:rsidRDefault="00656AC8" w:rsidP="00F80F9A">
      <w:pPr>
        <w:spacing w:line="360" w:lineRule="auto"/>
        <w:jc w:val="both"/>
        <w:rPr>
          <w:rFonts w:asciiTheme="majorBidi" w:hAnsiTheme="majorBidi" w:cstheme="majorBidi"/>
          <w:b/>
          <w:bCs/>
          <w:sz w:val="28"/>
          <w:szCs w:val="28"/>
        </w:rPr>
      </w:pPr>
      <w:r w:rsidRPr="00F531EB">
        <w:rPr>
          <w:rFonts w:asciiTheme="majorBidi" w:hAnsiTheme="majorBidi" w:cstheme="majorBidi"/>
          <w:b/>
          <w:bCs/>
          <w:sz w:val="28"/>
          <w:szCs w:val="28"/>
        </w:rPr>
        <w:t>I.4. Les additifs pour gasoil :</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Le gasoil comme les essences est formulé avec des additifs destinés à intervenir sur le processus de combustion : il s’agit des améliorants d’indice de cétane. Il contient aussi des produits détergents pour le circuit d’injection, mais il doit en outre posséder des composés améliorant le comportement rhéologique à basse température. Enfin, on se préoccupe de plus en plus de diminuer l’émission de particules dans les gaz d’échappement, mais pour cet effet, le mécanisme d’action à promouvoir n’est pas clairement éclairci.</w:t>
      </w:r>
      <w:r w:rsidRPr="00B701BA">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1,2,14</w:t>
      </w:r>
      <w:r w:rsidRPr="00C96A2F">
        <w:rPr>
          <w:rFonts w:asciiTheme="majorBidi" w:hAnsiTheme="majorBidi" w:cstheme="majorBidi"/>
        </w:rPr>
        <w:t>]</w:t>
      </w:r>
    </w:p>
    <w:p w:rsidR="00656AC8" w:rsidRPr="00F531EB" w:rsidRDefault="00656AC8" w:rsidP="00F80F9A">
      <w:pPr>
        <w:spacing w:line="360" w:lineRule="auto"/>
        <w:jc w:val="both"/>
        <w:rPr>
          <w:rFonts w:asciiTheme="majorBidi" w:hAnsiTheme="majorBidi" w:cstheme="majorBidi"/>
          <w:b/>
          <w:bCs/>
        </w:rPr>
      </w:pPr>
      <w:r w:rsidRPr="00F531EB">
        <w:rPr>
          <w:rFonts w:asciiTheme="majorBidi" w:hAnsiTheme="majorBidi" w:cstheme="majorBidi"/>
          <w:b/>
          <w:bCs/>
        </w:rPr>
        <w:lastRenderedPageBreak/>
        <w:t>I.4.1. Additifs améliorant l’indice de cétane des gazoles :</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 xml:space="preserve">A l’inverse des moteurs à allumage commandé pour lesquels le carburant doit résister à l’auto-ignition, dans le cas des moteurs </w:t>
      </w:r>
      <w:r>
        <w:rPr>
          <w:rFonts w:asciiTheme="majorBidi" w:hAnsiTheme="majorBidi" w:cstheme="majorBidi"/>
        </w:rPr>
        <w:t>D</w:t>
      </w:r>
      <w:r w:rsidRPr="007D7279">
        <w:rPr>
          <w:rFonts w:asciiTheme="majorBidi" w:hAnsiTheme="majorBidi" w:cstheme="majorBidi"/>
        </w:rPr>
        <w:t>iesel, on recherche des combustibles, dont la référence est le cétane, susceptibles de s’auto-enflammer facilement, les additifs améliorant l’indice de cétane favoriseront l’oxydation des paraffines,</w:t>
      </w:r>
      <w:r>
        <w:rPr>
          <w:rFonts w:asciiTheme="majorBidi" w:hAnsiTheme="majorBidi" w:cstheme="majorBidi"/>
        </w:rPr>
        <w:t xml:space="preserve"> en général,</w:t>
      </w:r>
      <w:r w:rsidRPr="007D7279">
        <w:rPr>
          <w:rFonts w:asciiTheme="majorBidi" w:hAnsiTheme="majorBidi" w:cstheme="majorBidi"/>
        </w:rPr>
        <w:t xml:space="preserve"> </w:t>
      </w:r>
      <w:r>
        <w:rPr>
          <w:rFonts w:asciiTheme="majorBidi" w:hAnsiTheme="majorBidi" w:cstheme="majorBidi"/>
        </w:rPr>
        <w:t>l</w:t>
      </w:r>
      <w:r w:rsidRPr="007D7279">
        <w:rPr>
          <w:rFonts w:asciiTheme="majorBidi" w:hAnsiTheme="majorBidi" w:cstheme="majorBidi"/>
        </w:rPr>
        <w:t xml:space="preserve">e seul composé </w:t>
      </w:r>
      <w:r>
        <w:rPr>
          <w:rFonts w:asciiTheme="majorBidi" w:hAnsiTheme="majorBidi" w:cstheme="majorBidi"/>
        </w:rPr>
        <w:t>utilisé</w:t>
      </w:r>
      <w:r w:rsidRPr="007D7279">
        <w:rPr>
          <w:rFonts w:asciiTheme="majorBidi" w:hAnsiTheme="majorBidi" w:cstheme="majorBidi"/>
        </w:rPr>
        <w:t xml:space="preserve"> est le nitrate d’éthyl-2-hexyle.</w:t>
      </w:r>
      <w:r w:rsidRPr="00B701BA">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4,32</w:t>
      </w:r>
      <w:r w:rsidRPr="00C96A2F">
        <w:rPr>
          <w:rFonts w:asciiTheme="majorBidi" w:hAnsiTheme="majorBidi" w:cstheme="majorBidi"/>
        </w:rPr>
        <w:t>]</w:t>
      </w:r>
    </w:p>
    <w:p w:rsidR="00656AC8" w:rsidRPr="00F531EB" w:rsidRDefault="00656AC8" w:rsidP="00F80F9A">
      <w:pPr>
        <w:spacing w:line="360" w:lineRule="auto"/>
        <w:jc w:val="both"/>
        <w:rPr>
          <w:rFonts w:asciiTheme="majorBidi" w:hAnsiTheme="majorBidi" w:cstheme="majorBidi"/>
          <w:b/>
          <w:bCs/>
        </w:rPr>
      </w:pPr>
      <w:r w:rsidRPr="00F531EB">
        <w:rPr>
          <w:rFonts w:asciiTheme="majorBidi" w:hAnsiTheme="majorBidi" w:cstheme="majorBidi"/>
          <w:b/>
          <w:bCs/>
        </w:rPr>
        <w:t>I.4.2. Additifs détergents pour gasoil :</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Le rôle des additifs détergents est de maintenir les injecteurs</w:t>
      </w:r>
      <w:r>
        <w:rPr>
          <w:rFonts w:asciiTheme="majorBidi" w:hAnsiTheme="majorBidi" w:cstheme="majorBidi"/>
        </w:rPr>
        <w:t xml:space="preserve"> </w:t>
      </w:r>
      <w:r w:rsidRPr="007D7279">
        <w:rPr>
          <w:rFonts w:asciiTheme="majorBidi" w:hAnsiTheme="majorBidi" w:cstheme="majorBidi"/>
        </w:rPr>
        <w:t xml:space="preserve">propres afin d’assurer une bonne répartition du gasoil dans le cylindre. La structure de ces composés est semblable à celle des détergents pour les circuits d’admission des moteurs </w:t>
      </w:r>
      <w:r>
        <w:rPr>
          <w:rFonts w:asciiTheme="majorBidi" w:hAnsiTheme="majorBidi" w:cstheme="majorBidi"/>
        </w:rPr>
        <w:t xml:space="preserve">en </w:t>
      </w:r>
      <w:r w:rsidRPr="007D7279">
        <w:rPr>
          <w:rFonts w:asciiTheme="majorBidi" w:hAnsiTheme="majorBidi" w:cstheme="majorBidi"/>
        </w:rPr>
        <w:t>essence. Les composés commercialisés sont de la famille des succins imides.</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En outre, ces structures tensio-actives, qui favorisent la dispersion des gouttelettes de carburant dans la chambre de combustion, jouent semblablement un</w:t>
      </w:r>
      <w:r>
        <w:rPr>
          <w:rFonts w:asciiTheme="majorBidi" w:hAnsiTheme="majorBidi" w:cstheme="majorBidi"/>
        </w:rPr>
        <w:t xml:space="preserve"> vrai</w:t>
      </w:r>
      <w:r w:rsidRPr="007D7279">
        <w:rPr>
          <w:rFonts w:asciiTheme="majorBidi" w:hAnsiTheme="majorBidi" w:cstheme="majorBidi"/>
        </w:rPr>
        <w:t xml:space="preserve"> rôle pour la réduction des émissions de particules.</w:t>
      </w:r>
      <w:r w:rsidRPr="00B701BA">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4</w:t>
      </w:r>
      <w:r w:rsidRPr="00C96A2F">
        <w:rPr>
          <w:rFonts w:asciiTheme="majorBidi" w:hAnsiTheme="majorBidi" w:cstheme="majorBidi"/>
        </w:rPr>
        <w:t>]</w:t>
      </w:r>
    </w:p>
    <w:p w:rsidR="00656AC8" w:rsidRPr="00F531EB" w:rsidRDefault="00656AC8" w:rsidP="00F80F9A">
      <w:pPr>
        <w:spacing w:line="360" w:lineRule="auto"/>
        <w:jc w:val="both"/>
        <w:rPr>
          <w:rFonts w:asciiTheme="majorBidi" w:hAnsiTheme="majorBidi" w:cstheme="majorBidi"/>
          <w:b/>
          <w:bCs/>
        </w:rPr>
      </w:pPr>
      <w:r w:rsidRPr="00F531EB">
        <w:rPr>
          <w:rFonts w:asciiTheme="majorBidi" w:hAnsiTheme="majorBidi" w:cstheme="majorBidi"/>
          <w:b/>
          <w:bCs/>
        </w:rPr>
        <w:t>I.4.3. Additifs améliorant la combustion et réduisant les émissions de fumées et de suies :</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Le mécanisme d’action de ces produits n’est pas clair, mais on a observé que l’introduction de composés organométalliques (sels de baryum ou de fer en solution colloïdale) ont une action bénéfique sur la combustion du gasoil dans les moteurs et réduisent les fumées. Cependant, l’utilisation de ces produits provoque des dépôts car ils sont utilisés en proportion relativement importante (de l’ordre de 0,6 à 0,8% en poids) pour être efficaces.</w:t>
      </w:r>
      <w:r w:rsidRPr="00B701BA">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4</w:t>
      </w:r>
      <w:r w:rsidRPr="00C96A2F">
        <w:rPr>
          <w:rFonts w:asciiTheme="majorBidi" w:hAnsiTheme="majorBidi" w:cstheme="majorBidi"/>
        </w:rPr>
        <w:t>]</w:t>
      </w:r>
    </w:p>
    <w:p w:rsidR="00656AC8" w:rsidRPr="00F531EB" w:rsidRDefault="00656AC8" w:rsidP="00F80F9A">
      <w:pPr>
        <w:spacing w:line="360" w:lineRule="auto"/>
        <w:jc w:val="both"/>
        <w:rPr>
          <w:rFonts w:asciiTheme="majorBidi" w:hAnsiTheme="majorBidi" w:cstheme="majorBidi"/>
          <w:b/>
          <w:bCs/>
        </w:rPr>
      </w:pPr>
      <w:r w:rsidRPr="00F531EB">
        <w:rPr>
          <w:rFonts w:asciiTheme="majorBidi" w:hAnsiTheme="majorBidi" w:cstheme="majorBidi"/>
          <w:b/>
          <w:bCs/>
        </w:rPr>
        <w:t>I.4.4. Additifs améliorant le comportement du gasoil à froid :</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Le gasoil de distillation directe a une teneur en paraffine</w:t>
      </w:r>
      <w:r>
        <w:rPr>
          <w:rFonts w:asciiTheme="majorBidi" w:hAnsiTheme="majorBidi" w:cstheme="majorBidi"/>
        </w:rPr>
        <w:t>s</w:t>
      </w:r>
      <w:r w:rsidRPr="007D7279">
        <w:rPr>
          <w:rFonts w:asciiTheme="majorBidi" w:hAnsiTheme="majorBidi" w:cstheme="majorBidi"/>
        </w:rPr>
        <w:t xml:space="preserve"> élevée, qui est d’ailleurs souhaitée pour obtenir un indice de cétane élevé. Plus le point final de distillation est élevé, plus la teneur en paraffines lourdes (avec un nombre de carbone supérieur à C</w:t>
      </w:r>
      <w:r w:rsidRPr="007D7279">
        <w:rPr>
          <w:rFonts w:asciiTheme="majorBidi" w:hAnsiTheme="majorBidi" w:cstheme="majorBidi"/>
          <w:vertAlign w:val="subscript"/>
        </w:rPr>
        <w:t>24</w:t>
      </w:r>
      <w:r w:rsidRPr="007D7279">
        <w:rPr>
          <w:rFonts w:asciiTheme="majorBidi" w:hAnsiTheme="majorBidi" w:cstheme="majorBidi"/>
        </w:rPr>
        <w:t>) est grande.</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 xml:space="preserve">La nature de ces paraffines et leur concentration dans le gasoil influent sur les trois températures qui caractérisent le comportement à froid. Le point de trouble est la température à laquelle les cristaux de paraffines apparaissent lorsque la température est abaissée. La température limite de filtrabilité est définie comme étant la température </w:t>
      </w:r>
      <w:r>
        <w:rPr>
          <w:rFonts w:asciiTheme="majorBidi" w:hAnsiTheme="majorBidi" w:cstheme="majorBidi"/>
        </w:rPr>
        <w:t>au</w:t>
      </w:r>
      <w:r w:rsidRPr="007D7279">
        <w:rPr>
          <w:rFonts w:asciiTheme="majorBidi" w:hAnsiTheme="majorBidi" w:cstheme="majorBidi"/>
        </w:rPr>
        <w:t xml:space="preserve"> dessous de laquelle la suspension ne s’écoule plus à travers un filtre normalisé. Enfin, le point d’écoulement est la température au dessous de laquelle le gazole ne s’écoule plus par simple gravité dans un tube normalisé. Ces trois températures sont  définies par la réglementation et le raffineur dispos de trois additifs pour améliorer la qualité du gasoil d’hiver.</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 xml:space="preserve">Les additifs efficaces sur le point de trouble sont encore peu employés ; Cependant, il a été montré que certains polymères portant des ramifications paraffiniques reconnaissent les paraffines de taille équivalente et les maintiennent en solution. Il est donc possible de </w:t>
      </w:r>
      <w:r w:rsidRPr="007D7279">
        <w:rPr>
          <w:rFonts w:asciiTheme="majorBidi" w:hAnsiTheme="majorBidi" w:cstheme="majorBidi"/>
        </w:rPr>
        <w:lastRenderedPageBreak/>
        <w:t>complexer sélectivement les paraffines les plus longues et diminuer ainsi le point de trouble de 3 à 4</w:t>
      </w:r>
      <w:r w:rsidRPr="007D7279">
        <w:rPr>
          <w:rFonts w:asciiTheme="majorBidi" w:hAnsiTheme="majorBidi" w:cstheme="majorBidi"/>
          <w:vertAlign w:val="superscript"/>
        </w:rPr>
        <w:t>°</w:t>
      </w:r>
      <w:r w:rsidRPr="007D7279">
        <w:rPr>
          <w:rFonts w:asciiTheme="majorBidi" w:hAnsiTheme="majorBidi" w:cstheme="majorBidi"/>
        </w:rPr>
        <w:t>C.</w:t>
      </w:r>
      <w:r w:rsidRPr="00B701BA">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3,4,14,32</w:t>
      </w:r>
      <w:r w:rsidRPr="00C96A2F">
        <w:rPr>
          <w:rFonts w:asciiTheme="majorBidi" w:hAnsiTheme="majorBidi" w:cstheme="majorBidi"/>
        </w:rPr>
        <w:t>]</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Les additifs efficaces sur la température de filtrabilité sont aussi des copolymères. Les plus courants sont des copolymères d’oléfines t d’esters de vinyle (éthylène-acétate de vinyle par exemple) ou oléfine et fumarate d’alkyle ou copolymère d’oléfines alpha. Le mécanisme d’action de ces copolymères est basé sur le fait qu’ils cristallisent légèrement avant les paraffines du milieu ; ils ont donc un effet sur la germination. Ces formulations permettent aussi de contrôler la croissanc</w:t>
      </w:r>
      <w:r>
        <w:rPr>
          <w:rFonts w:asciiTheme="majorBidi" w:hAnsiTheme="majorBidi" w:cstheme="majorBidi"/>
        </w:rPr>
        <w:t>e et la morphologie cristalline</w:t>
      </w:r>
      <w:r w:rsidRPr="007D7279">
        <w:rPr>
          <w:rFonts w:asciiTheme="majorBidi" w:hAnsiTheme="majorBidi" w:cstheme="majorBidi"/>
        </w:rPr>
        <w:t xml:space="preserve"> en s’adsorbant sur une des faces du cristal. Les cristaux de paraffines ainsi modifiés sont plus petits et peuvent traverser la grille des filtres.</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Les additifs agissant sur le point d’écoulement modifient aussi la taille des cristaux et en outre diminuent les forces cohésives entre les cristaux, permettant un écoulement à plus basse température. Ces additifs sont aussi des copolymères avec</w:t>
      </w:r>
      <w:r>
        <w:rPr>
          <w:rFonts w:asciiTheme="majorBidi" w:hAnsiTheme="majorBidi" w:cstheme="majorBidi"/>
        </w:rPr>
        <w:t xml:space="preserve"> des</w:t>
      </w:r>
      <w:r w:rsidRPr="007D7279">
        <w:rPr>
          <w:rFonts w:asciiTheme="majorBidi" w:hAnsiTheme="majorBidi" w:cstheme="majorBidi"/>
        </w:rPr>
        <w:t xml:space="preserve"> parties</w:t>
      </w:r>
      <w:r>
        <w:rPr>
          <w:rFonts w:asciiTheme="majorBidi" w:hAnsiTheme="majorBidi" w:cstheme="majorBidi"/>
        </w:rPr>
        <w:t> :</w:t>
      </w:r>
      <w:r w:rsidRPr="007D7279">
        <w:rPr>
          <w:rFonts w:asciiTheme="majorBidi" w:hAnsiTheme="majorBidi" w:cstheme="majorBidi"/>
        </w:rPr>
        <w:t xml:space="preserve"> ester de vinyle, acrylate d’alkyle ou fumarate d’alkyle</w:t>
      </w:r>
      <w:r>
        <w:rPr>
          <w:rFonts w:asciiTheme="majorBidi" w:hAnsiTheme="majorBidi" w:cstheme="majorBidi"/>
        </w:rPr>
        <w:t>.</w:t>
      </w:r>
      <w:r w:rsidRPr="007D7279">
        <w:rPr>
          <w:rFonts w:asciiTheme="majorBidi" w:hAnsiTheme="majorBidi" w:cstheme="majorBidi"/>
        </w:rPr>
        <w:t xml:space="preserve"> De plus, des formulations contenant des tensio-actifs tels que des amides ou </w:t>
      </w:r>
      <w:r>
        <w:rPr>
          <w:rFonts w:asciiTheme="majorBidi" w:hAnsiTheme="majorBidi" w:cstheme="majorBidi"/>
        </w:rPr>
        <w:t>des sels d’acides gras et de di</w:t>
      </w:r>
      <w:r w:rsidRPr="007D7279">
        <w:rPr>
          <w:rFonts w:asciiTheme="majorBidi" w:hAnsiTheme="majorBidi" w:cstheme="majorBidi"/>
        </w:rPr>
        <w:t>alkyl-amine à longues chaines ont un effet à la fois sur la température de filtrabilité et le point d’écoulement.</w:t>
      </w:r>
      <w:r w:rsidRPr="00B701BA">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4</w:t>
      </w:r>
      <w:r w:rsidRPr="00C96A2F">
        <w:rPr>
          <w:rFonts w:asciiTheme="majorBidi" w:hAnsiTheme="majorBidi" w:cstheme="majorBidi"/>
        </w:rPr>
        <w:t>]</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La composition des carburants pour moteurs est en constante évolution en vue d’améliorer les performances tout en respectant l’environnement.</w:t>
      </w:r>
    </w:p>
    <w:p w:rsidR="00656AC8" w:rsidRDefault="00656AC8" w:rsidP="00F80F9A">
      <w:pPr>
        <w:spacing w:line="360" w:lineRule="auto"/>
        <w:jc w:val="both"/>
        <w:rPr>
          <w:rFonts w:asciiTheme="majorBidi" w:hAnsiTheme="majorBidi" w:cstheme="majorBidi"/>
        </w:rPr>
      </w:pPr>
      <w:r w:rsidRPr="007D7279">
        <w:rPr>
          <w:rFonts w:asciiTheme="majorBidi" w:hAnsiTheme="majorBidi" w:cstheme="majorBidi"/>
        </w:rPr>
        <w:t xml:space="preserve">La désulfuration du gasoil va entrainer une reformulation importante </w:t>
      </w:r>
      <w:r>
        <w:rPr>
          <w:rFonts w:asciiTheme="majorBidi" w:hAnsiTheme="majorBidi" w:cstheme="majorBidi"/>
        </w:rPr>
        <w:t>du gasoil</w:t>
      </w:r>
      <w:r w:rsidRPr="007D7279">
        <w:rPr>
          <w:rFonts w:asciiTheme="majorBidi" w:hAnsiTheme="majorBidi" w:cstheme="majorBidi"/>
        </w:rPr>
        <w:t xml:space="preserve"> qui impliquera la mise au point d’additifs spécifiques permettant au raffineur d’optimiser les co</w:t>
      </w:r>
      <w:r>
        <w:rPr>
          <w:rFonts w:asciiTheme="majorBidi" w:hAnsiTheme="majorBidi" w:cstheme="majorBidi"/>
        </w:rPr>
        <w:t>û</w:t>
      </w:r>
      <w:r w:rsidRPr="007D7279">
        <w:rPr>
          <w:rFonts w:asciiTheme="majorBidi" w:hAnsiTheme="majorBidi" w:cstheme="majorBidi"/>
        </w:rPr>
        <w:t>ts pour atteindre les spécifications requises.</w:t>
      </w:r>
    </w:p>
    <w:p w:rsidR="00656AC8" w:rsidRPr="007D7279" w:rsidRDefault="00656AC8" w:rsidP="00F80F9A">
      <w:pPr>
        <w:spacing w:line="360" w:lineRule="auto"/>
        <w:jc w:val="both"/>
        <w:rPr>
          <w:rFonts w:asciiTheme="majorBidi" w:hAnsiTheme="majorBidi" w:cstheme="majorBidi"/>
        </w:rPr>
      </w:pPr>
    </w:p>
    <w:p w:rsidR="00656AC8" w:rsidRPr="00F531EB" w:rsidRDefault="00656AC8" w:rsidP="00F80F9A">
      <w:pPr>
        <w:spacing w:line="360" w:lineRule="auto"/>
        <w:jc w:val="both"/>
        <w:rPr>
          <w:b/>
          <w:bCs/>
          <w:sz w:val="28"/>
          <w:szCs w:val="28"/>
        </w:rPr>
      </w:pPr>
      <w:r w:rsidRPr="00F531EB">
        <w:rPr>
          <w:b/>
          <w:bCs/>
          <w:sz w:val="28"/>
          <w:szCs w:val="28"/>
        </w:rPr>
        <w:t>I.5. Méthodes d’obtention du gasoil :</w:t>
      </w:r>
    </w:p>
    <w:p w:rsidR="00656AC8" w:rsidRPr="00F531EB" w:rsidRDefault="00656AC8" w:rsidP="00F80F9A">
      <w:pPr>
        <w:autoSpaceDE w:val="0"/>
        <w:autoSpaceDN w:val="0"/>
        <w:adjustRightInd w:val="0"/>
        <w:spacing w:line="360" w:lineRule="auto"/>
        <w:jc w:val="both"/>
        <w:rPr>
          <w:rFonts w:asciiTheme="majorBidi" w:hAnsiTheme="majorBidi" w:cstheme="majorBidi"/>
          <w:b/>
          <w:bCs/>
          <w:lang w:val="en-US"/>
        </w:rPr>
      </w:pPr>
      <w:r w:rsidRPr="00F531EB">
        <w:rPr>
          <w:rFonts w:asciiTheme="majorBidi" w:hAnsiTheme="majorBidi" w:cstheme="majorBidi"/>
          <w:b/>
          <w:bCs/>
          <w:lang w:val="en-US"/>
        </w:rPr>
        <w:t>I.5.1. Distillation atmosphérique (Topping unit) :</w:t>
      </w:r>
    </w:p>
    <w:p w:rsidR="00656AC8" w:rsidRPr="007D7279" w:rsidRDefault="00656AC8" w:rsidP="00F80F9A">
      <w:pPr>
        <w:spacing w:before="100" w:beforeAutospacing="1" w:after="100" w:afterAutospacing="1" w:line="360" w:lineRule="auto"/>
        <w:jc w:val="both"/>
      </w:pPr>
      <w:r w:rsidRPr="007D7279">
        <w:rPr>
          <w:rFonts w:asciiTheme="majorBidi" w:hAnsiTheme="majorBidi" w:cstheme="majorBidi"/>
        </w:rPr>
        <w:t xml:space="preserve">La distillation sous </w:t>
      </w:r>
      <w:r>
        <w:rPr>
          <w:rFonts w:asciiTheme="majorBidi" w:hAnsiTheme="majorBidi" w:cstheme="majorBidi"/>
        </w:rPr>
        <w:t xml:space="preserve">pression atmosphérique produit  </w:t>
      </w:r>
      <w:r w:rsidRPr="007D7279">
        <w:rPr>
          <w:rFonts w:asciiTheme="majorBidi" w:hAnsiTheme="majorBidi" w:cstheme="majorBidi"/>
        </w:rPr>
        <w:t xml:space="preserve">les fractions d’hydrocarbures qui devront encore subir des traitements complémentaires pour donner, notamment, de l’essence, du gasoil, du kérosène et des fiouls légers et lourds. </w:t>
      </w:r>
      <w:r w:rsidRPr="007D7279">
        <w:t>La distillation atmosphérique se fait dans une colonne</w:t>
      </w:r>
      <w:r>
        <w:t xml:space="preserve"> de forme cylindrique</w:t>
      </w:r>
      <w:r w:rsidRPr="007D7279">
        <w:t xml:space="preserve"> munie d'un certain nombre de plateaux perforés et munis de clapets,</w:t>
      </w:r>
      <w:r>
        <w:t xml:space="preserve"> en général de 30 à 50 plateaux</w:t>
      </w:r>
      <w:r w:rsidRPr="007D7279">
        <w:t xml:space="preserve">. </w:t>
      </w:r>
      <w:r w:rsidRPr="007D7279">
        <w:rPr>
          <w:rFonts w:asciiTheme="majorBidi" w:hAnsiTheme="majorBidi" w:cstheme="majorBidi"/>
        </w:rPr>
        <w:t>Le pétrole brut, préalablement chauffé dans un four, puis évaporé, est injecté à mi-hauteur dans cette colonne</w:t>
      </w:r>
      <w:r>
        <w:rPr>
          <w:rFonts w:asciiTheme="majorBidi" w:hAnsiTheme="majorBidi" w:cstheme="majorBidi"/>
        </w:rPr>
        <w:t>,</w:t>
      </w:r>
      <w:r w:rsidRPr="007D7279">
        <w:rPr>
          <w:rFonts w:asciiTheme="majorBidi" w:hAnsiTheme="majorBidi" w:cstheme="majorBidi"/>
        </w:rPr>
        <w:t xml:space="preserve"> </w:t>
      </w:r>
      <w:r w:rsidRPr="007D7279">
        <w:t xml:space="preserve">cette </w:t>
      </w:r>
      <w:r>
        <w:t>dernière</w:t>
      </w:r>
      <w:r w:rsidRPr="007D7279">
        <w:t xml:space="preserve"> comporte différentes sorties (ou soutirages) pour extraire les différents produits pendant la distillation.</w:t>
      </w:r>
      <w:r w:rsidRPr="00B701BA">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,2,3,4,5</w:t>
      </w:r>
      <w:r w:rsidRPr="00C96A2F">
        <w:rPr>
          <w:rFonts w:asciiTheme="majorBidi" w:hAnsiTheme="majorBidi" w:cstheme="majorBidi"/>
        </w:rPr>
        <w:t>]</w:t>
      </w:r>
    </w:p>
    <w:p w:rsidR="00656AC8" w:rsidRPr="007D7279" w:rsidRDefault="00656AC8" w:rsidP="00F80F9A">
      <w:pPr>
        <w:spacing w:before="100" w:beforeAutospacing="1" w:after="100" w:afterAutospacing="1" w:line="360" w:lineRule="auto"/>
        <w:jc w:val="both"/>
      </w:pPr>
      <w:r w:rsidRPr="007D7279">
        <w:rPr>
          <w:rFonts w:asciiTheme="majorBidi" w:hAnsiTheme="majorBidi" w:cstheme="majorBidi"/>
        </w:rPr>
        <w:t xml:space="preserve">La distillation qui s’effectue sur le principe suivant: les composés gazeux </w:t>
      </w:r>
      <w:r>
        <w:rPr>
          <w:rFonts w:asciiTheme="majorBidi" w:hAnsiTheme="majorBidi" w:cstheme="majorBidi"/>
        </w:rPr>
        <w:t>montent</w:t>
      </w:r>
      <w:r w:rsidRPr="007D7279">
        <w:rPr>
          <w:rFonts w:asciiTheme="majorBidi" w:hAnsiTheme="majorBidi" w:cstheme="majorBidi"/>
        </w:rPr>
        <w:t xml:space="preserve">, tandis que les composés condensés liquides </w:t>
      </w:r>
      <w:r>
        <w:rPr>
          <w:rFonts w:asciiTheme="majorBidi" w:hAnsiTheme="majorBidi" w:cstheme="majorBidi"/>
        </w:rPr>
        <w:t>descendent</w:t>
      </w:r>
      <w:r w:rsidRPr="007D7279">
        <w:rPr>
          <w:rFonts w:asciiTheme="majorBidi" w:hAnsiTheme="majorBidi" w:cstheme="majorBidi"/>
        </w:rPr>
        <w:t xml:space="preserve"> au fond de la colonne. Le prélèvement et la réinjection appropriés de composants gazeux et liquides donnent lieu, dans la colonne à </w:t>
      </w:r>
      <w:r w:rsidRPr="007D7279">
        <w:rPr>
          <w:rFonts w:asciiTheme="majorBidi" w:hAnsiTheme="majorBidi" w:cstheme="majorBidi"/>
        </w:rPr>
        <w:lastRenderedPageBreak/>
        <w:t>distiller, à un contre-courant continu entre le flux ascendant des composés plus volatiles (à points d’ébullition moins élevés) et le flux descendant des composés à volatilité moindre (à points d’ébullition plus élevés). Au fond de la colonne, la fraction liquide de pétrole brut est en outre débarrassée de ses constituants peu volatiles par injection de vapeur d’eau.</w:t>
      </w:r>
      <w:r w:rsidRPr="00B701BA">
        <w:rPr>
          <w:rFonts w:asciiTheme="majorBidi" w:hAnsiTheme="majorBidi" w:cstheme="majorBidi"/>
        </w:rPr>
        <w:t xml:space="preserve"> </w:t>
      </w:r>
    </w:p>
    <w:p w:rsidR="00656AC8" w:rsidRPr="007D7279" w:rsidRDefault="00656AC8" w:rsidP="00F80F9A">
      <w:pPr>
        <w:spacing w:before="100" w:beforeAutospacing="1" w:after="100" w:afterAutospacing="1" w:line="360" w:lineRule="auto"/>
        <w:jc w:val="both"/>
      </w:pPr>
      <w:r w:rsidRPr="007D7279">
        <w:t>Par des soutirages latéraux, placés aux bons endroits tout au long de la hauteur de la colonne, on recueille en tête de colonne la fraction la plus légère contenant des gaz liquéfiés et du naphta, ensuite un peu plus bas du kérosène, du gazole léger, des gazoles moyen et lourd et enfin du résidu atmosphérique.</w:t>
      </w:r>
    </w:p>
    <w:p w:rsidR="00656AC8" w:rsidRPr="007D7279" w:rsidRDefault="00656AC8" w:rsidP="00F80F9A">
      <w:pPr>
        <w:spacing w:before="100" w:beforeAutospacing="1" w:after="100" w:afterAutospacing="1" w:line="360" w:lineRule="auto"/>
        <w:jc w:val="both"/>
      </w:pPr>
      <w:r w:rsidRPr="007D7279">
        <w:t>Les fractions soutirées latéralement sont soumises, en plus, à un fractionnement complémentaire appelé « stripping » dans des colonnes annexes appelées « strippers », afin d'</w:t>
      </w:r>
      <w:r>
        <w:t xml:space="preserve">éliminer les fractions légères </w:t>
      </w:r>
      <w:r w:rsidRPr="007D7279">
        <w:t xml:space="preserve"> dissoutes. Ceci se fait par injection de vapeur d'eau, à contre-courant.</w:t>
      </w:r>
    </w:p>
    <w:p w:rsidR="00656AC8" w:rsidRPr="007D7279" w:rsidRDefault="00656AC8" w:rsidP="00F80F9A">
      <w:pPr>
        <w:spacing w:before="100" w:beforeAutospacing="1" w:after="100" w:afterAutospacing="1" w:line="360" w:lineRule="auto"/>
        <w:jc w:val="both"/>
      </w:pPr>
      <w:r w:rsidRPr="007D7279">
        <w:t>Le résidu peut être utilisé directement dans la fabrication de fuels lourds commerciaux ou subit une nouvelle distillation appelée distillation sous vide.</w:t>
      </w:r>
      <w:r w:rsidRPr="00B701BA">
        <w:rPr>
          <w:rFonts w:asciiTheme="majorBidi" w:hAnsiTheme="majorBidi" w:cstheme="majorBidi"/>
        </w:rPr>
        <w:t xml:space="preserve"> </w:t>
      </w:r>
    </w:p>
    <w:p w:rsidR="00656AC8" w:rsidRPr="007D7279" w:rsidRDefault="00656AC8" w:rsidP="00F80F9A">
      <w:pPr>
        <w:autoSpaceDE w:val="0"/>
        <w:autoSpaceDN w:val="0"/>
        <w:adjustRightInd w:val="0"/>
        <w:spacing w:line="360" w:lineRule="auto"/>
        <w:jc w:val="both"/>
        <w:rPr>
          <w:rFonts w:asciiTheme="majorBidi" w:hAnsiTheme="majorBidi" w:cstheme="majorBidi"/>
          <w:u w:val="single"/>
        </w:rPr>
      </w:pPr>
      <w:r w:rsidRPr="007D7279">
        <w:rPr>
          <w:rFonts w:asciiTheme="majorBidi" w:hAnsiTheme="majorBidi" w:cstheme="majorBidi"/>
          <w:u w:val="single"/>
        </w:rPr>
        <w:t>Conditions de travail</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Pression: de 1,1 à 3,0 bars dans l’ensemble de colonnes</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Température à la sortie du four: de 350 à 380 °C</w:t>
      </w:r>
    </w:p>
    <w:p w:rsidR="00656AC8" w:rsidRPr="007D7279" w:rsidRDefault="00656AC8" w:rsidP="00F80F9A">
      <w:pPr>
        <w:spacing w:before="100" w:beforeAutospacing="1" w:after="100" w:afterAutospacing="1" w:line="360" w:lineRule="auto"/>
        <w:jc w:val="both"/>
      </w:pPr>
      <w:r w:rsidRPr="007D7279">
        <w:t>Pour les soutirages de produits, en tête de la colonne, on trouve la sortie des gaz. Sur le côté de la colonne, et de haut en bas on trouve le soutirage :</w:t>
      </w:r>
    </w:p>
    <w:p w:rsidR="00656AC8" w:rsidRPr="007D7279" w:rsidRDefault="00656AC8" w:rsidP="00F80F9A">
      <w:pPr>
        <w:numPr>
          <w:ilvl w:val="0"/>
          <w:numId w:val="2"/>
        </w:numPr>
        <w:spacing w:before="100" w:beforeAutospacing="1" w:after="100" w:afterAutospacing="1" w:line="360" w:lineRule="auto"/>
        <w:jc w:val="both"/>
      </w:pPr>
      <w:r w:rsidRPr="007D7279">
        <w:t>du naphta léger</w:t>
      </w:r>
    </w:p>
    <w:p w:rsidR="00656AC8" w:rsidRPr="007D7279" w:rsidRDefault="00656AC8" w:rsidP="00F80F9A">
      <w:pPr>
        <w:numPr>
          <w:ilvl w:val="0"/>
          <w:numId w:val="2"/>
        </w:numPr>
        <w:spacing w:before="100" w:beforeAutospacing="1" w:after="100" w:afterAutospacing="1" w:line="360" w:lineRule="auto"/>
        <w:jc w:val="both"/>
      </w:pPr>
      <w:r w:rsidRPr="007D7279">
        <w:t xml:space="preserve">du naphta lourd, </w:t>
      </w:r>
    </w:p>
    <w:p w:rsidR="00656AC8" w:rsidRPr="007D7279" w:rsidRDefault="00656AC8" w:rsidP="00F80F9A">
      <w:pPr>
        <w:numPr>
          <w:ilvl w:val="0"/>
          <w:numId w:val="2"/>
        </w:numPr>
        <w:spacing w:before="100" w:beforeAutospacing="1" w:after="100" w:afterAutospacing="1" w:line="360" w:lineRule="auto"/>
        <w:jc w:val="both"/>
      </w:pPr>
      <w:r w:rsidRPr="007D7279">
        <w:t xml:space="preserve">du kérosène, </w:t>
      </w:r>
    </w:p>
    <w:p w:rsidR="00656AC8" w:rsidRPr="007D7279" w:rsidRDefault="00656AC8" w:rsidP="00F80F9A">
      <w:pPr>
        <w:numPr>
          <w:ilvl w:val="0"/>
          <w:numId w:val="2"/>
        </w:numPr>
        <w:spacing w:before="100" w:beforeAutospacing="1" w:after="100" w:afterAutospacing="1" w:line="360" w:lineRule="auto"/>
        <w:jc w:val="both"/>
      </w:pPr>
      <w:r w:rsidRPr="007D7279">
        <w:t xml:space="preserve">du gazole léger, </w:t>
      </w:r>
    </w:p>
    <w:p w:rsidR="00656AC8" w:rsidRPr="007D7279" w:rsidRDefault="00656AC8" w:rsidP="00F80F9A">
      <w:pPr>
        <w:numPr>
          <w:ilvl w:val="0"/>
          <w:numId w:val="2"/>
        </w:numPr>
        <w:spacing w:before="100" w:beforeAutospacing="1" w:after="100" w:afterAutospacing="1" w:line="360" w:lineRule="auto"/>
        <w:jc w:val="both"/>
      </w:pPr>
      <w:r w:rsidRPr="007D7279">
        <w:t xml:space="preserve">du gazole lourd </w:t>
      </w:r>
    </w:p>
    <w:p w:rsidR="00656AC8" w:rsidRPr="007D7279" w:rsidRDefault="00656AC8" w:rsidP="00F80F9A">
      <w:pPr>
        <w:spacing w:before="100" w:beforeAutospacing="1" w:after="100" w:afterAutospacing="1" w:line="360" w:lineRule="auto"/>
        <w:jc w:val="both"/>
      </w:pPr>
      <w:r w:rsidRPr="007D7279">
        <w:t>Et en fond de colonne la sortie</w:t>
      </w:r>
      <w:r>
        <w:t xml:space="preserve"> </w:t>
      </w:r>
      <w:r w:rsidRPr="007D7279">
        <w:t>du résidu atmosphérique</w:t>
      </w:r>
    </w:p>
    <w:p w:rsidR="00656AC8" w:rsidRPr="007D7279" w:rsidRDefault="00656AC8" w:rsidP="00F80F9A">
      <w:pPr>
        <w:autoSpaceDE w:val="0"/>
        <w:autoSpaceDN w:val="0"/>
        <w:adjustRightInd w:val="0"/>
        <w:spacing w:line="360" w:lineRule="auto"/>
        <w:jc w:val="both"/>
        <w:rPr>
          <w:rFonts w:asciiTheme="majorBidi" w:hAnsiTheme="majorBidi" w:cstheme="majorBidi"/>
        </w:rPr>
      </w:pPr>
    </w:p>
    <w:p w:rsidR="00656AC8" w:rsidRPr="007D7279" w:rsidRDefault="00656AC8" w:rsidP="000B768D">
      <w:pPr>
        <w:spacing w:line="360" w:lineRule="auto"/>
        <w:jc w:val="center"/>
        <w:rPr>
          <w:rFonts w:asciiTheme="majorBidi" w:hAnsiTheme="majorBidi" w:cstheme="majorBidi"/>
        </w:rPr>
      </w:pPr>
      <w:r w:rsidRPr="007D7279">
        <w:rPr>
          <w:rFonts w:asciiTheme="majorBidi" w:hAnsiTheme="majorBidi" w:cstheme="majorBidi"/>
          <w:noProof/>
          <w:lang w:val="en-US" w:eastAsia="en-US"/>
        </w:rPr>
        <w:lastRenderedPageBreak/>
        <w:drawing>
          <wp:inline distT="0" distB="0" distL="0" distR="0">
            <wp:extent cx="6067425" cy="3248025"/>
            <wp:effectExtent l="19050" t="0" r="9525" b="0"/>
            <wp:docPr id="1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a:stretch>
                      <a:fillRect/>
                    </a:stretch>
                  </pic:blipFill>
                  <pic:spPr bwMode="auto">
                    <a:xfrm>
                      <a:off x="0" y="0"/>
                      <a:ext cx="6067425" cy="3248025"/>
                    </a:xfrm>
                    <a:prstGeom prst="rect">
                      <a:avLst/>
                    </a:prstGeom>
                    <a:noFill/>
                    <a:ln w="9525">
                      <a:noFill/>
                      <a:miter lim="800000"/>
                      <a:headEnd/>
                      <a:tailEnd/>
                    </a:ln>
                  </pic:spPr>
                </pic:pic>
              </a:graphicData>
            </a:graphic>
          </wp:inline>
        </w:drawing>
      </w:r>
    </w:p>
    <w:p w:rsidR="00656AC8" w:rsidRPr="00841A6F" w:rsidRDefault="00656AC8" w:rsidP="000B768D">
      <w:pPr>
        <w:jc w:val="center"/>
        <w:rPr>
          <w:rFonts w:asciiTheme="majorBidi" w:hAnsiTheme="majorBidi" w:cstheme="majorBidi"/>
          <w:u w:val="single"/>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B701BA">
        <w:rPr>
          <w:rFonts w:asciiTheme="majorBidi" w:hAnsiTheme="majorBidi" w:cstheme="majorBidi"/>
          <w:b/>
          <w:bCs/>
          <w:u w:val="single"/>
        </w:rPr>
        <w:t xml:space="preserve">1. </w:t>
      </w:r>
      <w:r>
        <w:rPr>
          <w:rFonts w:asciiTheme="majorBidi" w:hAnsiTheme="majorBidi" w:cstheme="majorBidi"/>
          <w:b/>
          <w:bCs/>
          <w:u w:val="single"/>
        </w:rPr>
        <w:t xml:space="preserve">Procédé de </w:t>
      </w:r>
      <w:r w:rsidRPr="00B701BA">
        <w:rPr>
          <w:rFonts w:asciiTheme="majorBidi" w:hAnsiTheme="majorBidi" w:cstheme="majorBidi"/>
          <w:b/>
          <w:bCs/>
          <w:u w:val="single"/>
        </w:rPr>
        <w:t>Distillation atmosphérique.</w:t>
      </w:r>
      <w:r w:rsidRPr="00B701BA">
        <w:rPr>
          <w:rFonts w:asciiTheme="majorBidi" w:hAnsiTheme="majorBidi" w:cstheme="majorBidi"/>
        </w:rPr>
        <w:t xml:space="preserve"> </w:t>
      </w:r>
      <w:r>
        <w:rPr>
          <w:rFonts w:asciiTheme="majorBidi" w:hAnsiTheme="majorBidi" w:cstheme="majorBidi"/>
        </w:rPr>
        <w:t>[2,3,4</w:t>
      </w:r>
      <w:r w:rsidRPr="00C96A2F">
        <w:rPr>
          <w:rFonts w:asciiTheme="majorBidi" w:hAnsiTheme="majorBidi" w:cstheme="majorBidi"/>
        </w:rPr>
        <w:t>]</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ab/>
      </w:r>
    </w:p>
    <w:p w:rsidR="00656AC8" w:rsidRPr="00F531EB" w:rsidRDefault="00656AC8" w:rsidP="00F80F9A">
      <w:pPr>
        <w:autoSpaceDE w:val="0"/>
        <w:autoSpaceDN w:val="0"/>
        <w:adjustRightInd w:val="0"/>
        <w:spacing w:line="360" w:lineRule="auto"/>
        <w:jc w:val="both"/>
        <w:rPr>
          <w:rFonts w:asciiTheme="majorBidi" w:hAnsiTheme="majorBidi" w:cstheme="majorBidi"/>
          <w:b/>
          <w:bCs/>
        </w:rPr>
      </w:pPr>
      <w:r w:rsidRPr="00F531EB">
        <w:rPr>
          <w:rFonts w:asciiTheme="majorBidi" w:hAnsiTheme="majorBidi" w:cstheme="majorBidi"/>
          <w:b/>
          <w:bCs/>
        </w:rPr>
        <w:t>I.5.2. Distillation sous vide (</w:t>
      </w:r>
      <w:r w:rsidRPr="00F531EB">
        <w:rPr>
          <w:rStyle w:val="mw-headline"/>
          <w:rFonts w:asciiTheme="majorBidi" w:hAnsiTheme="majorBidi" w:cstheme="majorBidi"/>
          <w:b/>
          <w:bCs/>
        </w:rPr>
        <w:t>Vacuum Unit</w:t>
      </w:r>
      <w:r w:rsidRPr="00F531EB">
        <w:rPr>
          <w:rFonts w:asciiTheme="majorBidi" w:hAnsiTheme="majorBidi" w:cstheme="majorBidi"/>
          <w:b/>
          <w:bCs/>
        </w:rPr>
        <w:t>) :</w:t>
      </w:r>
    </w:p>
    <w:p w:rsidR="00656AC8" w:rsidRPr="007D7279" w:rsidRDefault="00656AC8" w:rsidP="00F80F9A">
      <w:pPr>
        <w:spacing w:before="100" w:beforeAutospacing="1" w:after="100" w:afterAutospacing="1" w:line="360" w:lineRule="auto"/>
        <w:jc w:val="both"/>
      </w:pPr>
      <w:r w:rsidRPr="007D7279">
        <w:t xml:space="preserve">Le résidu atmosphérique est envoyé comme charge à l'entrée de la colonne sous vide. En effet, tous les composants hydrocarbonés qui ne peuvent être soutirés dans la colonne atmosphérique, sans subir un phénomène de </w:t>
      </w:r>
      <w:hyperlink r:id="rId15" w:tooltip="Craquage thermique" w:history="1">
        <w:r w:rsidRPr="007D7279">
          <w:t>craquage thermique</w:t>
        </w:r>
      </w:hyperlink>
      <w:r w:rsidRPr="007D7279">
        <w:t>, à cause de leur point d'ébullition trop élevé à la pression atmosphérique, sont distillés sous un vide relatif. La colonne sous vide est constituée seulement de 8 à 20 plateaux ou de garnissage (ou une alternance des deux), fonctionnant sous une pression de l'</w:t>
      </w:r>
      <w:r>
        <w:t xml:space="preserve">ordre de 40 mm de Hg (mercure), </w:t>
      </w:r>
      <w:r w:rsidRPr="007D7279">
        <w:t>la pression atmosphérique e</w:t>
      </w:r>
      <w:r>
        <w:t>st égale à 760 mm de Hg</w:t>
      </w:r>
      <w:r w:rsidRPr="007D7279">
        <w:t>.</w:t>
      </w:r>
      <w:r w:rsidRPr="00167221">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23,4,5,</w:t>
      </w:r>
      <w:r w:rsidRPr="00C96A2F">
        <w:rPr>
          <w:rFonts w:asciiTheme="majorBidi" w:hAnsiTheme="majorBidi" w:cstheme="majorBidi"/>
        </w:rPr>
        <w:t>]</w:t>
      </w:r>
    </w:p>
    <w:p w:rsidR="00656AC8" w:rsidRPr="00841A6F" w:rsidRDefault="00656AC8" w:rsidP="00F80F9A">
      <w:pPr>
        <w:jc w:val="both"/>
        <w:rPr>
          <w:rFonts w:asciiTheme="majorBidi" w:hAnsiTheme="majorBidi" w:cstheme="majorBidi"/>
          <w:u w:val="single"/>
        </w:rPr>
      </w:pPr>
      <w:r>
        <w:t>L</w:t>
      </w:r>
      <w:r w:rsidRPr="007D7279">
        <w:t>a vaporisation de la charge est favorisée par une injection de vapeur d'eau et le vide est réalisé à l'aide d'une série d'éjecteurs à vapeur.</w:t>
      </w:r>
      <w:r w:rsidRPr="00B701BA">
        <w:rPr>
          <w:rFonts w:asciiTheme="majorBidi" w:hAnsiTheme="majorBidi" w:cstheme="majorBidi"/>
        </w:rPr>
        <w:t xml:space="preserve"> </w:t>
      </w:r>
    </w:p>
    <w:p w:rsidR="00656AC8" w:rsidRPr="007D7279" w:rsidRDefault="00656AC8" w:rsidP="00F80F9A">
      <w:pPr>
        <w:spacing w:before="100" w:beforeAutospacing="1" w:after="100" w:afterAutospacing="1" w:line="360" w:lineRule="auto"/>
        <w:jc w:val="both"/>
      </w:pPr>
    </w:p>
    <w:p w:rsidR="00656AC8" w:rsidRPr="007D7279" w:rsidRDefault="00656AC8" w:rsidP="00F80F9A">
      <w:pPr>
        <w:spacing w:before="100" w:beforeAutospacing="1" w:after="100" w:afterAutospacing="1" w:line="360" w:lineRule="auto"/>
        <w:jc w:val="both"/>
      </w:pPr>
      <w:r w:rsidRPr="007D7279">
        <w:t>Donc, on peut soutirer à la sortie de la colonne sous vide du:</w:t>
      </w:r>
    </w:p>
    <w:p w:rsidR="00656AC8" w:rsidRPr="007D7279" w:rsidRDefault="00656AC8" w:rsidP="00F80F9A">
      <w:pPr>
        <w:numPr>
          <w:ilvl w:val="0"/>
          <w:numId w:val="4"/>
        </w:numPr>
        <w:spacing w:before="100" w:beforeAutospacing="1" w:after="100" w:afterAutospacing="1" w:line="360" w:lineRule="auto"/>
        <w:jc w:val="both"/>
      </w:pPr>
      <w:r w:rsidRPr="007D7279">
        <w:t xml:space="preserve">Gazole sous vide, </w:t>
      </w:r>
    </w:p>
    <w:p w:rsidR="00656AC8" w:rsidRPr="007D7279" w:rsidRDefault="00656AC8" w:rsidP="00F80F9A">
      <w:pPr>
        <w:numPr>
          <w:ilvl w:val="0"/>
          <w:numId w:val="4"/>
        </w:numPr>
        <w:spacing w:before="100" w:beforeAutospacing="1" w:after="100" w:afterAutospacing="1" w:line="360" w:lineRule="auto"/>
        <w:jc w:val="both"/>
      </w:pPr>
      <w:r w:rsidRPr="007D7279">
        <w:t xml:space="preserve">Distillat léger sous vide, </w:t>
      </w:r>
    </w:p>
    <w:p w:rsidR="00656AC8" w:rsidRPr="007D7279" w:rsidRDefault="00656AC8" w:rsidP="00F80F9A">
      <w:pPr>
        <w:numPr>
          <w:ilvl w:val="0"/>
          <w:numId w:val="4"/>
        </w:numPr>
        <w:spacing w:before="100" w:beforeAutospacing="1" w:after="100" w:afterAutospacing="1" w:line="360" w:lineRule="auto"/>
        <w:jc w:val="both"/>
      </w:pPr>
      <w:r w:rsidRPr="007D7279">
        <w:t xml:space="preserve">Distillat lourd sous vide, </w:t>
      </w:r>
    </w:p>
    <w:p w:rsidR="00656AC8" w:rsidRPr="007D7279" w:rsidRDefault="00656AC8" w:rsidP="00F80F9A">
      <w:pPr>
        <w:numPr>
          <w:ilvl w:val="0"/>
          <w:numId w:val="4"/>
        </w:numPr>
        <w:spacing w:before="100" w:beforeAutospacing="1" w:after="100" w:afterAutospacing="1" w:line="360" w:lineRule="auto"/>
        <w:jc w:val="both"/>
      </w:pPr>
      <w:r w:rsidRPr="007D7279">
        <w:t xml:space="preserve">Résidu sous vide. </w:t>
      </w:r>
    </w:p>
    <w:p w:rsidR="00656AC8" w:rsidRPr="007D7279" w:rsidRDefault="00656AC8" w:rsidP="00F80F9A">
      <w:pPr>
        <w:spacing w:before="100" w:beforeAutospacing="1" w:after="100" w:afterAutospacing="1" w:line="360" w:lineRule="auto"/>
        <w:jc w:val="both"/>
      </w:pPr>
      <w:r w:rsidRPr="007D7279">
        <w:lastRenderedPageBreak/>
        <w:t xml:space="preserve">Les deux premières fractions peuvent servir de compléments dans les différents mélanges de produits finis, mais aussi comme charges pour une unité de craquage catalytique. </w:t>
      </w:r>
      <w:r>
        <w:t xml:space="preserve">Le résidu sous </w:t>
      </w:r>
      <w:r w:rsidRPr="007D7279">
        <w:t xml:space="preserve">vide va servir de charge au viscoréducteur. </w:t>
      </w:r>
      <w:r>
        <w:t>I</w:t>
      </w:r>
      <w:r w:rsidRPr="007D7279">
        <w:t>l faut signaler aussi qu'on peut envoyer également le résidu atmosphérique comme charge d</w:t>
      </w:r>
      <w:r>
        <w:t>u</w:t>
      </w:r>
      <w:r w:rsidRPr="007D7279">
        <w:t xml:space="preserve"> viscoréducteur si celui-ci est trop visqueux.</w:t>
      </w:r>
    </w:p>
    <w:p w:rsidR="00656AC8" w:rsidRPr="007D7279" w:rsidRDefault="00656AC8" w:rsidP="00F80F9A">
      <w:pPr>
        <w:autoSpaceDE w:val="0"/>
        <w:autoSpaceDN w:val="0"/>
        <w:adjustRightInd w:val="0"/>
        <w:spacing w:line="360" w:lineRule="auto"/>
        <w:jc w:val="both"/>
        <w:rPr>
          <w:rFonts w:asciiTheme="majorBidi" w:hAnsiTheme="majorBidi" w:cstheme="majorBidi"/>
          <w:u w:val="single"/>
        </w:rPr>
      </w:pPr>
      <w:r w:rsidRPr="007D7279">
        <w:rPr>
          <w:rFonts w:asciiTheme="majorBidi" w:hAnsiTheme="majorBidi" w:cstheme="majorBidi"/>
          <w:u w:val="single"/>
        </w:rPr>
        <w:t>Conditions de travail :</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Pression: environ 0,035 bar</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Température à la sortie du four: de 350 à 400 °C, suivant la substance mise en œuvre et le produit final</w:t>
      </w:r>
    </w:p>
    <w:p w:rsidR="00656AC8" w:rsidRPr="007D7279" w:rsidRDefault="00656AC8" w:rsidP="00F80F9A">
      <w:pPr>
        <w:autoSpaceDE w:val="0"/>
        <w:autoSpaceDN w:val="0"/>
        <w:adjustRightInd w:val="0"/>
        <w:spacing w:line="360" w:lineRule="auto"/>
        <w:jc w:val="both"/>
        <w:rPr>
          <w:rFonts w:asciiTheme="majorBidi" w:hAnsiTheme="majorBidi" w:cstheme="majorBidi"/>
        </w:rPr>
      </w:pPr>
    </w:p>
    <w:p w:rsidR="00656AC8" w:rsidRPr="007D7279" w:rsidRDefault="00656AC8" w:rsidP="000B768D">
      <w:pPr>
        <w:tabs>
          <w:tab w:val="left" w:pos="2550"/>
        </w:tabs>
        <w:spacing w:line="360" w:lineRule="auto"/>
        <w:jc w:val="center"/>
        <w:rPr>
          <w:rFonts w:asciiTheme="majorBidi" w:hAnsiTheme="majorBidi" w:cstheme="majorBidi"/>
        </w:rPr>
      </w:pPr>
      <w:r w:rsidRPr="007D7279">
        <w:rPr>
          <w:rFonts w:asciiTheme="majorBidi" w:hAnsiTheme="majorBidi" w:cstheme="majorBidi"/>
          <w:noProof/>
          <w:lang w:val="en-US" w:eastAsia="en-US"/>
        </w:rPr>
        <w:drawing>
          <wp:inline distT="0" distB="0" distL="0" distR="0">
            <wp:extent cx="5972810" cy="3019425"/>
            <wp:effectExtent l="19050" t="0" r="8890" b="0"/>
            <wp:docPr id="1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5972810" cy="3019425"/>
                    </a:xfrm>
                    <a:prstGeom prst="rect">
                      <a:avLst/>
                    </a:prstGeom>
                    <a:noFill/>
                    <a:ln w="9525">
                      <a:noFill/>
                      <a:miter lim="800000"/>
                      <a:headEnd/>
                      <a:tailEnd/>
                    </a:ln>
                  </pic:spPr>
                </pic:pic>
              </a:graphicData>
            </a:graphic>
          </wp:inline>
        </w:drawing>
      </w:r>
    </w:p>
    <w:p w:rsidR="00656AC8" w:rsidRPr="00B701BA" w:rsidRDefault="00656AC8" w:rsidP="000B768D">
      <w:pPr>
        <w:autoSpaceDE w:val="0"/>
        <w:autoSpaceDN w:val="0"/>
        <w:adjustRightInd w:val="0"/>
        <w:spacing w:line="360" w:lineRule="auto"/>
        <w:jc w:val="center"/>
        <w:rPr>
          <w:rFonts w:asciiTheme="majorBidi" w:hAnsiTheme="majorBidi" w:cstheme="majorBidi"/>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B701BA">
        <w:rPr>
          <w:rFonts w:asciiTheme="majorBidi" w:hAnsiTheme="majorBidi" w:cstheme="majorBidi"/>
          <w:b/>
          <w:bCs/>
          <w:u w:val="single"/>
        </w:rPr>
        <w:t xml:space="preserve"> 2. </w:t>
      </w:r>
      <w:r>
        <w:rPr>
          <w:rFonts w:asciiTheme="majorBidi" w:hAnsiTheme="majorBidi" w:cstheme="majorBidi"/>
          <w:b/>
          <w:bCs/>
          <w:u w:val="single"/>
        </w:rPr>
        <w:t xml:space="preserve">Procédé de </w:t>
      </w:r>
      <w:r w:rsidRPr="00B701BA">
        <w:rPr>
          <w:rFonts w:asciiTheme="majorBidi" w:hAnsiTheme="majorBidi" w:cstheme="majorBidi"/>
          <w:b/>
          <w:bCs/>
          <w:u w:val="single"/>
        </w:rPr>
        <w:t>Distillation sous vide</w:t>
      </w:r>
      <w:r>
        <w:rPr>
          <w:rFonts w:asciiTheme="majorBidi" w:hAnsiTheme="majorBidi" w:cstheme="majorBidi"/>
          <w:b/>
          <w:bCs/>
          <w:u w:val="single"/>
        </w:rPr>
        <w:t xml:space="preserve"> </w:t>
      </w:r>
      <w:r w:rsidRPr="00C96A2F">
        <w:rPr>
          <w:rFonts w:asciiTheme="majorBidi" w:hAnsiTheme="majorBidi" w:cstheme="majorBidi"/>
        </w:rPr>
        <w:t>[</w:t>
      </w:r>
      <w:r>
        <w:rPr>
          <w:rFonts w:asciiTheme="majorBidi" w:hAnsiTheme="majorBidi" w:cstheme="majorBidi"/>
        </w:rPr>
        <w:t>2,6,7</w:t>
      </w:r>
      <w:r w:rsidRPr="00C96A2F">
        <w:rPr>
          <w:rFonts w:asciiTheme="majorBidi" w:hAnsiTheme="majorBidi" w:cstheme="majorBidi"/>
        </w:rPr>
        <w:t>]</w:t>
      </w:r>
    </w:p>
    <w:p w:rsidR="00656AC8" w:rsidRPr="007D7279" w:rsidRDefault="00656AC8" w:rsidP="00F80F9A">
      <w:pPr>
        <w:autoSpaceDE w:val="0"/>
        <w:autoSpaceDN w:val="0"/>
        <w:adjustRightInd w:val="0"/>
        <w:spacing w:line="360" w:lineRule="auto"/>
        <w:jc w:val="both"/>
        <w:rPr>
          <w:rFonts w:asciiTheme="majorBidi" w:hAnsiTheme="majorBidi" w:cstheme="majorBidi"/>
          <w:b/>
          <w:bCs/>
          <w:sz w:val="32"/>
          <w:szCs w:val="32"/>
        </w:rPr>
      </w:pPr>
    </w:p>
    <w:p w:rsidR="00656AC8" w:rsidRPr="00F531EB" w:rsidRDefault="00656AC8" w:rsidP="00F80F9A">
      <w:pPr>
        <w:autoSpaceDE w:val="0"/>
        <w:autoSpaceDN w:val="0"/>
        <w:adjustRightInd w:val="0"/>
        <w:spacing w:line="360" w:lineRule="auto"/>
        <w:jc w:val="both"/>
        <w:rPr>
          <w:rFonts w:asciiTheme="majorBidi" w:hAnsiTheme="majorBidi" w:cstheme="majorBidi"/>
          <w:b/>
          <w:bCs/>
        </w:rPr>
      </w:pPr>
      <w:r w:rsidRPr="00F531EB">
        <w:rPr>
          <w:rFonts w:asciiTheme="majorBidi" w:hAnsiTheme="majorBidi" w:cstheme="majorBidi"/>
          <w:b/>
          <w:bCs/>
        </w:rPr>
        <w:t>I.5.3. Viscoréduction (</w:t>
      </w:r>
      <w:r w:rsidRPr="00F531EB">
        <w:rPr>
          <w:rStyle w:val="mw-headline"/>
          <w:rFonts w:asciiTheme="majorBidi" w:hAnsiTheme="majorBidi" w:cstheme="majorBidi"/>
          <w:b/>
          <w:bCs/>
        </w:rPr>
        <w:t>Visbreaking)</w:t>
      </w:r>
      <w:r w:rsidRPr="00F531EB">
        <w:rPr>
          <w:rFonts w:asciiTheme="majorBidi" w:hAnsiTheme="majorBidi" w:cstheme="majorBidi"/>
          <w:b/>
          <w:bCs/>
        </w:rPr>
        <w:t>:</w:t>
      </w:r>
    </w:p>
    <w:p w:rsidR="00656AC8" w:rsidRPr="007D7279" w:rsidRDefault="00656AC8" w:rsidP="00F80F9A">
      <w:pPr>
        <w:spacing w:before="100" w:beforeAutospacing="1" w:after="100" w:afterAutospacing="1" w:line="360" w:lineRule="auto"/>
        <w:jc w:val="both"/>
      </w:pPr>
      <w:r w:rsidRPr="007D7279">
        <w:t>Le  procédé</w:t>
      </w:r>
      <w:r>
        <w:t xml:space="preserve"> du</w:t>
      </w:r>
      <w:r w:rsidRPr="007D7279">
        <w:t xml:space="preserve"> viscoréduction (visbreaking) qui a pour but de transformer en partie les produits lourds en produits légers et en même temps réduire la viscosité du résidu. En effet, c'est un craquage thermique</w:t>
      </w:r>
      <w:r>
        <w:t xml:space="preserve"> </w:t>
      </w:r>
      <w:r w:rsidRPr="007D7279">
        <w:t>de résidu atmosphérique ou sous vide, à sévérité, en général, modérée. Les divers procédés de visbreaking opèrent en phase liquide entre 450 °C et 500 °C sous une pression comprise entre 5 et 20 bars.</w:t>
      </w:r>
      <w:r w:rsidRPr="00B701BA">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3,4,6</w:t>
      </w:r>
      <w:r w:rsidRPr="00C96A2F">
        <w:rPr>
          <w:rFonts w:asciiTheme="majorBidi" w:hAnsiTheme="majorBidi" w:cstheme="majorBidi"/>
        </w:rPr>
        <w:t>]</w:t>
      </w:r>
    </w:p>
    <w:p w:rsidR="00656AC8" w:rsidRPr="007D7279" w:rsidRDefault="00656AC8" w:rsidP="00F80F9A">
      <w:pPr>
        <w:autoSpaceDE w:val="0"/>
        <w:autoSpaceDN w:val="0"/>
        <w:adjustRightInd w:val="0"/>
        <w:spacing w:line="360" w:lineRule="auto"/>
        <w:jc w:val="both"/>
        <w:rPr>
          <w:rFonts w:asciiTheme="majorBidi" w:hAnsiTheme="majorBidi" w:cstheme="majorBidi"/>
          <w:u w:val="single"/>
        </w:rPr>
      </w:pPr>
      <w:r w:rsidRPr="007D7279">
        <w:rPr>
          <w:rFonts w:asciiTheme="majorBidi" w:hAnsiTheme="majorBidi" w:cstheme="majorBidi"/>
          <w:u w:val="single"/>
        </w:rPr>
        <w:t>Buts :</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1. Abaisser la viscosité des fuels lourds</w:t>
      </w:r>
    </w:p>
    <w:p w:rsidR="00656AC8" w:rsidRPr="007D7279" w:rsidRDefault="00656AC8" w:rsidP="00F80F9A">
      <w:pPr>
        <w:autoSpaceDE w:val="0"/>
        <w:autoSpaceDN w:val="0"/>
        <w:adjustRightInd w:val="0"/>
        <w:spacing w:line="360" w:lineRule="auto"/>
        <w:jc w:val="both"/>
        <w:rPr>
          <w:rFonts w:asciiTheme="majorBidi" w:eastAsiaTheme="minorHAnsi" w:hAnsiTheme="majorBidi" w:cstheme="majorBidi"/>
        </w:rPr>
      </w:pPr>
      <w:r w:rsidRPr="007D7279">
        <w:rPr>
          <w:rFonts w:asciiTheme="majorBidi" w:hAnsiTheme="majorBidi" w:cstheme="majorBidi"/>
        </w:rPr>
        <w:t>2. Récupérer une certaine quantité d’essence et de gazole</w:t>
      </w:r>
    </w:p>
    <w:p w:rsidR="00656AC8" w:rsidRPr="007D7279" w:rsidRDefault="00656AC8" w:rsidP="00F80F9A">
      <w:pPr>
        <w:spacing w:before="100" w:beforeAutospacing="1" w:after="100" w:afterAutospacing="1" w:line="360" w:lineRule="auto"/>
        <w:jc w:val="both"/>
      </w:pPr>
      <w:r w:rsidRPr="007D7279">
        <w:lastRenderedPageBreak/>
        <w:t>Les charges qui alimentent cette unité de raffinage viennent des distillations atmosphérique et sous vide et du craquage catalytique, ce sont :</w:t>
      </w:r>
    </w:p>
    <w:p w:rsidR="00656AC8" w:rsidRPr="007D7279" w:rsidRDefault="00656AC8" w:rsidP="00F80F9A">
      <w:pPr>
        <w:numPr>
          <w:ilvl w:val="0"/>
          <w:numId w:val="5"/>
        </w:numPr>
        <w:spacing w:before="100" w:beforeAutospacing="1" w:after="100" w:afterAutospacing="1" w:line="360" w:lineRule="auto"/>
        <w:jc w:val="both"/>
      </w:pPr>
      <w:r w:rsidRPr="007D7279">
        <w:t xml:space="preserve">le résidu atmosphérique, </w:t>
      </w:r>
    </w:p>
    <w:p w:rsidR="00656AC8" w:rsidRPr="007D7279" w:rsidRDefault="00656AC8" w:rsidP="00F80F9A">
      <w:pPr>
        <w:numPr>
          <w:ilvl w:val="0"/>
          <w:numId w:val="5"/>
        </w:numPr>
        <w:spacing w:before="100" w:beforeAutospacing="1" w:after="100" w:afterAutospacing="1" w:line="360" w:lineRule="auto"/>
        <w:jc w:val="both"/>
      </w:pPr>
      <w:r w:rsidRPr="007D7279">
        <w:t xml:space="preserve">le résidu sous vide, </w:t>
      </w:r>
    </w:p>
    <w:p w:rsidR="00656AC8" w:rsidRPr="007D7279" w:rsidRDefault="00656AC8" w:rsidP="00F80F9A">
      <w:pPr>
        <w:numPr>
          <w:ilvl w:val="0"/>
          <w:numId w:val="5"/>
        </w:numPr>
        <w:spacing w:before="100" w:beforeAutospacing="1" w:after="100" w:afterAutospacing="1" w:line="360" w:lineRule="auto"/>
        <w:jc w:val="both"/>
      </w:pPr>
      <w:r w:rsidRPr="007D7279">
        <w:t xml:space="preserve">le gazole lourd de FCC. </w:t>
      </w:r>
    </w:p>
    <w:p w:rsidR="00656AC8" w:rsidRPr="007D7279" w:rsidRDefault="00656AC8" w:rsidP="00F80F9A">
      <w:pPr>
        <w:spacing w:before="100" w:beforeAutospacing="1" w:after="100" w:afterAutospacing="1" w:line="360" w:lineRule="auto"/>
        <w:jc w:val="both"/>
      </w:pPr>
      <w:r w:rsidRPr="007D7279">
        <w:t>À la sortie de l'unité, on trouve toute une gamme de produits suivants :</w:t>
      </w:r>
    </w:p>
    <w:p w:rsidR="00656AC8" w:rsidRPr="007D7279" w:rsidRDefault="00656AC8" w:rsidP="00F80F9A">
      <w:pPr>
        <w:numPr>
          <w:ilvl w:val="0"/>
          <w:numId w:val="6"/>
        </w:numPr>
        <w:spacing w:before="100" w:beforeAutospacing="1" w:after="100" w:afterAutospacing="1" w:line="360" w:lineRule="auto"/>
        <w:jc w:val="both"/>
      </w:pPr>
      <w:r w:rsidRPr="007D7279">
        <w:t xml:space="preserve">le fuel gaz (est envoyé au réseau fuel gaz) </w:t>
      </w:r>
    </w:p>
    <w:p w:rsidR="00656AC8" w:rsidRPr="007D7279" w:rsidRDefault="00656AC8" w:rsidP="00F80F9A">
      <w:pPr>
        <w:numPr>
          <w:ilvl w:val="0"/>
          <w:numId w:val="6"/>
        </w:numPr>
        <w:spacing w:before="100" w:beforeAutospacing="1" w:after="100" w:afterAutospacing="1" w:line="360" w:lineRule="auto"/>
        <w:jc w:val="both"/>
      </w:pPr>
      <w:r w:rsidRPr="007D7279">
        <w:t>la coupe C3/C4 (est dirigée vers le ga</w:t>
      </w:r>
      <w:r>
        <w:t>s</w:t>
      </w:r>
      <w:r w:rsidRPr="007D7279">
        <w:t xml:space="preserve"> plant) </w:t>
      </w:r>
    </w:p>
    <w:p w:rsidR="00656AC8" w:rsidRPr="007D7279" w:rsidRDefault="00656AC8" w:rsidP="00F80F9A">
      <w:pPr>
        <w:numPr>
          <w:ilvl w:val="0"/>
          <w:numId w:val="6"/>
        </w:numPr>
        <w:spacing w:before="100" w:beforeAutospacing="1" w:after="100" w:afterAutospacing="1" w:line="360" w:lineRule="auto"/>
        <w:jc w:val="both"/>
      </w:pPr>
      <w:r w:rsidRPr="007D7279">
        <w:t xml:space="preserve">l'essence de visbreaking (est dirigée vers le HDT (hydrotraitement)) </w:t>
      </w:r>
    </w:p>
    <w:p w:rsidR="00656AC8" w:rsidRPr="007D7279" w:rsidRDefault="00656AC8" w:rsidP="00F80F9A">
      <w:pPr>
        <w:numPr>
          <w:ilvl w:val="0"/>
          <w:numId w:val="6"/>
        </w:numPr>
        <w:spacing w:before="100" w:beforeAutospacing="1" w:after="100" w:afterAutospacing="1" w:line="360" w:lineRule="auto"/>
        <w:jc w:val="both"/>
      </w:pPr>
      <w:r w:rsidRPr="007D7279">
        <w:t xml:space="preserve">le distillat léger de visbreaking : gasoil  (est envoyé à l'hydrodésulfuration) </w:t>
      </w:r>
    </w:p>
    <w:p w:rsidR="00656AC8" w:rsidRPr="007D7279" w:rsidRDefault="00656AC8" w:rsidP="00F80F9A">
      <w:pPr>
        <w:numPr>
          <w:ilvl w:val="0"/>
          <w:numId w:val="6"/>
        </w:numPr>
        <w:spacing w:before="100" w:beforeAutospacing="1" w:after="100" w:afterAutospacing="1" w:line="360" w:lineRule="auto"/>
        <w:jc w:val="both"/>
      </w:pPr>
      <w:r w:rsidRPr="007D7279">
        <w:t xml:space="preserve">le distillat lourd de visbreaking : fioul (est envoyé </w:t>
      </w:r>
      <w:r>
        <w:t>comme</w:t>
      </w:r>
      <w:r w:rsidRPr="007D7279">
        <w:t xml:space="preserve"> charge vers l'hydrocraqueur) </w:t>
      </w:r>
    </w:p>
    <w:p w:rsidR="00656AC8" w:rsidRPr="007D7279" w:rsidRDefault="00656AC8" w:rsidP="00F80F9A">
      <w:pPr>
        <w:numPr>
          <w:ilvl w:val="0"/>
          <w:numId w:val="6"/>
        </w:numPr>
        <w:spacing w:before="100" w:beforeAutospacing="1" w:after="100" w:afterAutospacing="1" w:line="360" w:lineRule="auto"/>
        <w:jc w:val="both"/>
      </w:pPr>
      <w:r w:rsidRPr="007D7279">
        <w:t xml:space="preserve">le résidu de visbreaking (est envoyé au pool de fioul ou de bitume). </w:t>
      </w:r>
    </w:p>
    <w:p w:rsidR="00656AC8" w:rsidRPr="007D7279" w:rsidRDefault="00656AC8" w:rsidP="00F80F9A">
      <w:pPr>
        <w:pStyle w:val="Paragraphedeliste"/>
        <w:numPr>
          <w:ilvl w:val="0"/>
          <w:numId w:val="6"/>
        </w:numPr>
        <w:autoSpaceDE w:val="0"/>
        <w:autoSpaceDN w:val="0"/>
        <w:adjustRightInd w:val="0"/>
        <w:spacing w:after="0" w:line="360" w:lineRule="auto"/>
        <w:jc w:val="both"/>
        <w:rPr>
          <w:rFonts w:asciiTheme="majorBidi" w:hAnsiTheme="majorBidi" w:cstheme="majorBidi"/>
          <w:sz w:val="24"/>
          <w:szCs w:val="24"/>
        </w:rPr>
      </w:pPr>
      <w:r w:rsidRPr="007D7279">
        <w:rPr>
          <w:rFonts w:asciiTheme="majorBidi" w:hAnsiTheme="majorBidi" w:cstheme="majorBidi"/>
          <w:sz w:val="24"/>
          <w:szCs w:val="24"/>
        </w:rPr>
        <w:t>Actuellement le procédé de viscoreduction est remplacé par le craquage  catalytique et l’hydrocraquage</w:t>
      </w:r>
    </w:p>
    <w:p w:rsidR="00656AC8" w:rsidRPr="007D7279" w:rsidRDefault="00656AC8" w:rsidP="00F80F9A">
      <w:pPr>
        <w:autoSpaceDE w:val="0"/>
        <w:autoSpaceDN w:val="0"/>
        <w:adjustRightInd w:val="0"/>
        <w:spacing w:line="360" w:lineRule="auto"/>
        <w:jc w:val="both"/>
        <w:rPr>
          <w:rFonts w:asciiTheme="majorBidi" w:hAnsiTheme="majorBidi" w:cstheme="majorBidi"/>
        </w:rPr>
      </w:pPr>
    </w:p>
    <w:p w:rsidR="00656AC8" w:rsidRPr="007D7279" w:rsidRDefault="00656AC8" w:rsidP="000B768D">
      <w:pPr>
        <w:autoSpaceDE w:val="0"/>
        <w:autoSpaceDN w:val="0"/>
        <w:adjustRightInd w:val="0"/>
        <w:spacing w:line="360" w:lineRule="auto"/>
        <w:jc w:val="center"/>
        <w:rPr>
          <w:rFonts w:asciiTheme="majorBidi" w:hAnsiTheme="majorBidi" w:cstheme="majorBidi"/>
        </w:rPr>
      </w:pPr>
      <w:r w:rsidRPr="007D7279">
        <w:rPr>
          <w:rFonts w:asciiTheme="majorBidi" w:hAnsiTheme="majorBidi" w:cstheme="majorBidi"/>
          <w:noProof/>
          <w:lang w:val="en-US" w:eastAsia="en-US"/>
        </w:rPr>
        <w:drawing>
          <wp:inline distT="0" distB="0" distL="0" distR="0">
            <wp:extent cx="5753100" cy="2781300"/>
            <wp:effectExtent l="19050" t="0" r="0" b="0"/>
            <wp:docPr id="1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srcRect/>
                    <a:stretch>
                      <a:fillRect/>
                    </a:stretch>
                  </pic:blipFill>
                  <pic:spPr bwMode="auto">
                    <a:xfrm>
                      <a:off x="0" y="0"/>
                      <a:ext cx="5753100" cy="2781300"/>
                    </a:xfrm>
                    <a:prstGeom prst="rect">
                      <a:avLst/>
                    </a:prstGeom>
                    <a:noFill/>
                    <a:ln w="9525">
                      <a:noFill/>
                      <a:miter lim="800000"/>
                      <a:headEnd/>
                      <a:tailEnd/>
                    </a:ln>
                  </pic:spPr>
                </pic:pic>
              </a:graphicData>
            </a:graphic>
          </wp:inline>
        </w:drawing>
      </w:r>
    </w:p>
    <w:p w:rsidR="00656AC8" w:rsidRPr="00841A6F" w:rsidRDefault="00656AC8" w:rsidP="000B768D">
      <w:pPr>
        <w:tabs>
          <w:tab w:val="left" w:pos="4380"/>
        </w:tabs>
        <w:jc w:val="center"/>
        <w:rPr>
          <w:u w:val="single"/>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B701BA">
        <w:rPr>
          <w:b/>
          <w:bCs/>
          <w:u w:val="single"/>
        </w:rPr>
        <w:t xml:space="preserve">3. </w:t>
      </w:r>
      <w:r>
        <w:rPr>
          <w:b/>
          <w:bCs/>
          <w:u w:val="single"/>
        </w:rPr>
        <w:t xml:space="preserve">Procédé de </w:t>
      </w:r>
      <w:r w:rsidRPr="00B701BA">
        <w:rPr>
          <w:b/>
          <w:bCs/>
          <w:u w:val="single"/>
        </w:rPr>
        <w:t>Viscoréduction</w:t>
      </w:r>
      <w:r>
        <w:rPr>
          <w:u w:val="single"/>
        </w:rPr>
        <w:t xml:space="preserve"> </w:t>
      </w:r>
      <w:r w:rsidRPr="00C96A2F">
        <w:rPr>
          <w:rFonts w:asciiTheme="majorBidi" w:hAnsiTheme="majorBidi" w:cstheme="majorBidi"/>
        </w:rPr>
        <w:t>[</w:t>
      </w:r>
      <w:r>
        <w:rPr>
          <w:rFonts w:asciiTheme="majorBidi" w:hAnsiTheme="majorBidi" w:cstheme="majorBidi"/>
        </w:rPr>
        <w:t>3,4,6</w:t>
      </w:r>
      <w:r w:rsidRPr="00C96A2F">
        <w:rPr>
          <w:rFonts w:asciiTheme="majorBidi" w:hAnsiTheme="majorBidi" w:cstheme="majorBidi"/>
        </w:rPr>
        <w:t>]</w:t>
      </w:r>
    </w:p>
    <w:p w:rsidR="0098240B" w:rsidRDefault="0098240B" w:rsidP="00F80F9A">
      <w:pPr>
        <w:autoSpaceDE w:val="0"/>
        <w:autoSpaceDN w:val="0"/>
        <w:adjustRightInd w:val="0"/>
        <w:spacing w:line="360" w:lineRule="auto"/>
        <w:jc w:val="both"/>
        <w:rPr>
          <w:rFonts w:asciiTheme="majorBidi" w:hAnsiTheme="majorBidi" w:cstheme="majorBidi"/>
          <w:u w:val="single"/>
        </w:rPr>
      </w:pPr>
    </w:p>
    <w:p w:rsidR="0098240B" w:rsidRDefault="0098240B" w:rsidP="00F80F9A">
      <w:pPr>
        <w:autoSpaceDE w:val="0"/>
        <w:autoSpaceDN w:val="0"/>
        <w:adjustRightInd w:val="0"/>
        <w:spacing w:line="360" w:lineRule="auto"/>
        <w:jc w:val="both"/>
        <w:rPr>
          <w:rFonts w:asciiTheme="majorBidi" w:hAnsiTheme="majorBidi" w:cstheme="majorBidi"/>
          <w:u w:val="single"/>
        </w:rPr>
      </w:pPr>
    </w:p>
    <w:p w:rsidR="0098240B" w:rsidRDefault="0098240B" w:rsidP="00F80F9A">
      <w:pPr>
        <w:autoSpaceDE w:val="0"/>
        <w:autoSpaceDN w:val="0"/>
        <w:adjustRightInd w:val="0"/>
        <w:spacing w:line="360" w:lineRule="auto"/>
        <w:jc w:val="both"/>
        <w:rPr>
          <w:rFonts w:asciiTheme="majorBidi" w:hAnsiTheme="majorBidi" w:cstheme="majorBidi"/>
          <w:u w:val="single"/>
        </w:rPr>
      </w:pPr>
    </w:p>
    <w:p w:rsidR="000B768D" w:rsidRDefault="000B768D" w:rsidP="00F80F9A">
      <w:pPr>
        <w:autoSpaceDE w:val="0"/>
        <w:autoSpaceDN w:val="0"/>
        <w:adjustRightInd w:val="0"/>
        <w:spacing w:line="360" w:lineRule="auto"/>
        <w:jc w:val="both"/>
        <w:rPr>
          <w:rFonts w:asciiTheme="majorBidi" w:hAnsiTheme="majorBidi" w:cstheme="majorBidi"/>
          <w:u w:val="single"/>
        </w:rPr>
      </w:pPr>
    </w:p>
    <w:p w:rsidR="0098240B" w:rsidRDefault="0098240B" w:rsidP="00F80F9A">
      <w:pPr>
        <w:autoSpaceDE w:val="0"/>
        <w:autoSpaceDN w:val="0"/>
        <w:adjustRightInd w:val="0"/>
        <w:spacing w:line="360" w:lineRule="auto"/>
        <w:jc w:val="both"/>
        <w:rPr>
          <w:rFonts w:asciiTheme="majorBidi" w:hAnsiTheme="majorBidi" w:cstheme="majorBidi"/>
          <w:u w:val="single"/>
        </w:rPr>
      </w:pPr>
    </w:p>
    <w:p w:rsidR="00656AC8" w:rsidRPr="00F531EB" w:rsidRDefault="00656AC8" w:rsidP="00F80F9A">
      <w:pPr>
        <w:autoSpaceDE w:val="0"/>
        <w:autoSpaceDN w:val="0"/>
        <w:adjustRightInd w:val="0"/>
        <w:spacing w:line="360" w:lineRule="auto"/>
        <w:jc w:val="both"/>
        <w:rPr>
          <w:rFonts w:asciiTheme="majorBidi" w:hAnsiTheme="majorBidi" w:cstheme="majorBidi"/>
          <w:b/>
          <w:bCs/>
        </w:rPr>
      </w:pPr>
      <w:r w:rsidRPr="00F531EB">
        <w:rPr>
          <w:rFonts w:asciiTheme="majorBidi" w:hAnsiTheme="majorBidi" w:cstheme="majorBidi"/>
          <w:b/>
          <w:bCs/>
        </w:rPr>
        <w:lastRenderedPageBreak/>
        <w:t>I.5.4. Cokéfaction (coking) :</w:t>
      </w:r>
    </w:p>
    <w:p w:rsidR="00656AC8" w:rsidRPr="000A6D37" w:rsidRDefault="00656AC8" w:rsidP="00F80F9A">
      <w:pPr>
        <w:spacing w:line="360" w:lineRule="auto"/>
        <w:jc w:val="both"/>
        <w:rPr>
          <w:rFonts w:asciiTheme="majorBidi" w:hAnsiTheme="majorBidi" w:cstheme="majorBidi"/>
        </w:rPr>
      </w:pPr>
      <w:r w:rsidRPr="007D7279">
        <w:rPr>
          <w:rFonts w:asciiTheme="majorBidi" w:hAnsiTheme="majorBidi" w:cstheme="majorBidi"/>
        </w:rPr>
        <w:t xml:space="preserve">Le </w:t>
      </w:r>
      <w:r w:rsidRPr="007D7279">
        <w:t xml:space="preserve">processus de cokéfaction </w:t>
      </w:r>
      <w:r w:rsidRPr="007D7279">
        <w:rPr>
          <w:rFonts w:asciiTheme="majorBidi" w:hAnsiTheme="majorBidi" w:cstheme="majorBidi"/>
        </w:rPr>
        <w:t>est</w:t>
      </w:r>
      <w:r w:rsidRPr="007D7279">
        <w:t xml:space="preserve"> </w:t>
      </w:r>
      <w:r>
        <w:t>un processus thermique</w:t>
      </w:r>
      <w:r w:rsidRPr="007D7279">
        <w:t xml:space="preserve"> de conversion qui converti</w:t>
      </w:r>
      <w:r>
        <w:t>t</w:t>
      </w:r>
      <w:r w:rsidRPr="007D7279">
        <w:t xml:space="preserve"> complètement des fractions lourds du pétrole. Ce procédé</w:t>
      </w:r>
      <w:r>
        <w:t xml:space="preserve"> est</w:t>
      </w:r>
      <w:r w:rsidRPr="007D7279">
        <w:rPr>
          <w:rFonts w:asciiTheme="majorBidi" w:hAnsiTheme="majorBidi" w:cstheme="majorBidi"/>
        </w:rPr>
        <w:t xml:space="preserve"> mis en œuvre pour valoriser les résidus lourds. Il </w:t>
      </w:r>
      <w:r>
        <w:rPr>
          <w:rFonts w:asciiTheme="majorBidi" w:hAnsiTheme="majorBidi" w:cstheme="majorBidi"/>
        </w:rPr>
        <w:t>existe</w:t>
      </w:r>
      <w:r w:rsidRPr="007D7279">
        <w:rPr>
          <w:rFonts w:asciiTheme="majorBidi" w:hAnsiTheme="majorBidi" w:cstheme="majorBidi"/>
        </w:rPr>
        <w:t xml:space="preserve"> deux types :</w:t>
      </w:r>
      <w:r w:rsidRPr="00B701BA">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2,4,5,6</w:t>
      </w:r>
      <w:r w:rsidRPr="00C96A2F">
        <w:rPr>
          <w:rFonts w:asciiTheme="majorBidi" w:hAnsiTheme="majorBidi" w:cstheme="majorBidi"/>
        </w:rPr>
        <w:t>]</w:t>
      </w:r>
    </w:p>
    <w:p w:rsidR="00656AC8" w:rsidRPr="007D7279" w:rsidRDefault="00656AC8" w:rsidP="00F80F9A">
      <w:pPr>
        <w:spacing w:line="360" w:lineRule="auto"/>
        <w:jc w:val="both"/>
        <w:outlineLvl w:val="0"/>
        <w:rPr>
          <w:rFonts w:asciiTheme="majorBidi" w:hAnsiTheme="majorBidi" w:cstheme="majorBidi"/>
          <w:b/>
        </w:rPr>
      </w:pPr>
      <w:r w:rsidRPr="007D7279">
        <w:rPr>
          <w:rFonts w:asciiTheme="majorBidi" w:hAnsiTheme="majorBidi" w:cstheme="majorBidi"/>
          <w:b/>
        </w:rPr>
        <w:t>La cokéfaction retardée :</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 xml:space="preserve">       La cokéfaction retardée est la technologie la plus largement </w:t>
      </w:r>
      <w:r>
        <w:rPr>
          <w:rFonts w:asciiTheme="majorBidi" w:hAnsiTheme="majorBidi" w:cstheme="majorBidi"/>
        </w:rPr>
        <w:t>utilisée</w:t>
      </w:r>
      <w:r w:rsidRPr="007D7279">
        <w:rPr>
          <w:rFonts w:asciiTheme="majorBidi" w:hAnsiTheme="majorBidi" w:cstheme="majorBidi"/>
        </w:rPr>
        <w:t xml:space="preserve"> dansl’industrie du raffinage.la cokéfaction retardée est un procédé très flexible qui peut s’adapter à des types de charges variées et produire différentes qualités de coke suivant les besoins du marché.</w:t>
      </w:r>
    </w:p>
    <w:p w:rsidR="00656AC8" w:rsidRPr="007D7279" w:rsidRDefault="00656AC8" w:rsidP="00F80F9A">
      <w:pPr>
        <w:spacing w:line="360" w:lineRule="auto"/>
        <w:jc w:val="both"/>
        <w:outlineLvl w:val="0"/>
        <w:rPr>
          <w:rFonts w:asciiTheme="majorBidi" w:hAnsiTheme="majorBidi" w:cstheme="majorBidi"/>
          <w:b/>
        </w:rPr>
      </w:pPr>
      <w:r w:rsidRPr="007D7279">
        <w:rPr>
          <w:rFonts w:asciiTheme="majorBidi" w:hAnsiTheme="majorBidi" w:cstheme="majorBidi"/>
          <w:b/>
        </w:rPr>
        <w:t>Types de charges :</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 xml:space="preserve">       Les unités de cokéfaction retardée sont généralement alimentées par des résidus lourds, tel que :</w:t>
      </w:r>
    </w:p>
    <w:p w:rsidR="00656AC8" w:rsidRPr="007D7279" w:rsidRDefault="00656AC8" w:rsidP="00F80F9A">
      <w:pPr>
        <w:numPr>
          <w:ilvl w:val="0"/>
          <w:numId w:val="7"/>
        </w:numPr>
        <w:spacing w:line="360" w:lineRule="auto"/>
        <w:jc w:val="both"/>
        <w:rPr>
          <w:rFonts w:asciiTheme="majorBidi" w:hAnsiTheme="majorBidi" w:cstheme="majorBidi"/>
        </w:rPr>
      </w:pPr>
      <w:r w:rsidRPr="007D7279">
        <w:rPr>
          <w:rFonts w:asciiTheme="majorBidi" w:hAnsiTheme="majorBidi" w:cstheme="majorBidi"/>
        </w:rPr>
        <w:t>Résidus sous vide ;</w:t>
      </w:r>
    </w:p>
    <w:p w:rsidR="00656AC8" w:rsidRPr="007D7279" w:rsidRDefault="00656AC8" w:rsidP="00F80F9A">
      <w:pPr>
        <w:numPr>
          <w:ilvl w:val="0"/>
          <w:numId w:val="7"/>
        </w:numPr>
        <w:spacing w:line="360" w:lineRule="auto"/>
        <w:jc w:val="both"/>
        <w:rPr>
          <w:rFonts w:asciiTheme="majorBidi" w:hAnsiTheme="majorBidi" w:cstheme="majorBidi"/>
        </w:rPr>
      </w:pPr>
      <w:r w:rsidRPr="007D7279">
        <w:rPr>
          <w:rFonts w:asciiTheme="majorBidi" w:hAnsiTheme="majorBidi" w:cstheme="majorBidi"/>
        </w:rPr>
        <w:t>Résidus de craquage catalytique ;</w:t>
      </w:r>
    </w:p>
    <w:p w:rsidR="00656AC8" w:rsidRPr="007D7279" w:rsidRDefault="00656AC8" w:rsidP="00F80F9A">
      <w:pPr>
        <w:numPr>
          <w:ilvl w:val="0"/>
          <w:numId w:val="7"/>
        </w:numPr>
        <w:spacing w:line="360" w:lineRule="auto"/>
        <w:jc w:val="both"/>
        <w:rPr>
          <w:rFonts w:asciiTheme="majorBidi" w:hAnsiTheme="majorBidi" w:cstheme="majorBidi"/>
        </w:rPr>
      </w:pPr>
      <w:r w:rsidRPr="007D7279">
        <w:rPr>
          <w:rFonts w:asciiTheme="majorBidi" w:hAnsiTheme="majorBidi" w:cstheme="majorBidi"/>
        </w:rPr>
        <w:t>Résidus de viscoréduction ou goudron de craquage thermique ;</w:t>
      </w:r>
    </w:p>
    <w:p w:rsidR="00656AC8" w:rsidRPr="007D7279" w:rsidRDefault="00656AC8" w:rsidP="00F80F9A">
      <w:pPr>
        <w:numPr>
          <w:ilvl w:val="0"/>
          <w:numId w:val="7"/>
        </w:numPr>
        <w:spacing w:line="360" w:lineRule="auto"/>
        <w:jc w:val="both"/>
        <w:rPr>
          <w:rFonts w:asciiTheme="majorBidi" w:hAnsiTheme="majorBidi" w:cstheme="majorBidi"/>
        </w:rPr>
      </w:pPr>
      <w:r w:rsidRPr="007D7279">
        <w:rPr>
          <w:rFonts w:asciiTheme="majorBidi" w:hAnsiTheme="majorBidi" w:cstheme="majorBidi"/>
        </w:rPr>
        <w:t>Asphalte ou extraits d’huiles lubrifiantes.</w:t>
      </w:r>
    </w:p>
    <w:p w:rsidR="00656AC8" w:rsidRPr="00634E5D" w:rsidRDefault="00656AC8" w:rsidP="00F80F9A">
      <w:pPr>
        <w:spacing w:line="360" w:lineRule="auto"/>
        <w:jc w:val="both"/>
        <w:rPr>
          <w:rFonts w:asciiTheme="majorBidi" w:hAnsiTheme="majorBidi" w:cstheme="majorBidi"/>
        </w:rPr>
      </w:pPr>
      <w:r w:rsidRPr="007D7279">
        <w:rPr>
          <w:rFonts w:asciiTheme="majorBidi" w:hAnsiTheme="majorBidi" w:cstheme="majorBidi"/>
        </w:rPr>
        <w:t xml:space="preserve">       Les rendements et la qualité des produits dépendent de quatre caractéristiques : la teneur en carbone résiduaire et en soufre, la teneur en métaux, le point de coupe TBP.</w:t>
      </w:r>
      <w:r>
        <w:rPr>
          <w:rFonts w:asciiTheme="majorBidi" w:hAnsiTheme="majorBidi" w:cstheme="majorBidi"/>
        </w:rPr>
        <w:t xml:space="preserve"> </w:t>
      </w:r>
      <w:r w:rsidRPr="00634E5D">
        <w:rPr>
          <w:rFonts w:asciiTheme="majorBidi" w:hAnsiTheme="majorBidi" w:cstheme="majorBidi"/>
        </w:rPr>
        <w:t>À la sortie de l'unité, on trouve toute les fractions de produits suivants :</w:t>
      </w:r>
      <w:r w:rsidRPr="00B701BA">
        <w:rPr>
          <w:rFonts w:asciiTheme="majorBidi" w:hAnsiTheme="majorBidi" w:cstheme="majorBidi"/>
        </w:rPr>
        <w:t xml:space="preserve"> </w:t>
      </w:r>
    </w:p>
    <w:p w:rsidR="00656AC8" w:rsidRPr="007D7279" w:rsidRDefault="00656AC8" w:rsidP="00F80F9A">
      <w:pPr>
        <w:pStyle w:val="Paragraphedeliste"/>
        <w:numPr>
          <w:ilvl w:val="0"/>
          <w:numId w:val="8"/>
        </w:numPr>
        <w:autoSpaceDE w:val="0"/>
        <w:autoSpaceDN w:val="0"/>
        <w:adjustRightInd w:val="0"/>
        <w:spacing w:after="0" w:line="360" w:lineRule="auto"/>
        <w:jc w:val="both"/>
        <w:rPr>
          <w:rFonts w:asciiTheme="majorBidi" w:hAnsiTheme="majorBidi" w:cstheme="majorBidi"/>
          <w:sz w:val="24"/>
          <w:szCs w:val="24"/>
        </w:rPr>
      </w:pPr>
      <w:r w:rsidRPr="007D7279">
        <w:rPr>
          <w:rFonts w:asciiTheme="majorBidi" w:hAnsiTheme="majorBidi" w:cstheme="majorBidi"/>
          <w:sz w:val="24"/>
          <w:szCs w:val="24"/>
        </w:rPr>
        <w:t>Coke</w:t>
      </w:r>
    </w:p>
    <w:p w:rsidR="00656AC8" w:rsidRPr="007D7279" w:rsidRDefault="00656AC8" w:rsidP="00F80F9A">
      <w:pPr>
        <w:pStyle w:val="Paragraphedeliste"/>
        <w:numPr>
          <w:ilvl w:val="0"/>
          <w:numId w:val="8"/>
        </w:numPr>
        <w:autoSpaceDE w:val="0"/>
        <w:autoSpaceDN w:val="0"/>
        <w:adjustRightInd w:val="0"/>
        <w:spacing w:after="0" w:line="360" w:lineRule="auto"/>
        <w:jc w:val="both"/>
        <w:rPr>
          <w:rFonts w:asciiTheme="majorBidi" w:hAnsiTheme="majorBidi" w:cstheme="majorBidi"/>
          <w:sz w:val="24"/>
          <w:szCs w:val="24"/>
        </w:rPr>
      </w:pPr>
      <w:r w:rsidRPr="007D7279">
        <w:rPr>
          <w:rFonts w:asciiTheme="majorBidi" w:hAnsiTheme="majorBidi" w:cstheme="majorBidi"/>
          <w:sz w:val="24"/>
          <w:szCs w:val="24"/>
        </w:rPr>
        <w:t>Gaz de craquage</w:t>
      </w:r>
    </w:p>
    <w:p w:rsidR="00656AC8" w:rsidRPr="007D7279" w:rsidRDefault="00656AC8" w:rsidP="00F80F9A">
      <w:pPr>
        <w:pStyle w:val="Paragraphedeliste"/>
        <w:numPr>
          <w:ilvl w:val="0"/>
          <w:numId w:val="8"/>
        </w:numPr>
        <w:autoSpaceDE w:val="0"/>
        <w:autoSpaceDN w:val="0"/>
        <w:adjustRightInd w:val="0"/>
        <w:spacing w:after="0" w:line="360" w:lineRule="auto"/>
        <w:jc w:val="both"/>
        <w:rPr>
          <w:rFonts w:asciiTheme="majorBidi" w:hAnsiTheme="majorBidi" w:cstheme="majorBidi"/>
          <w:sz w:val="24"/>
          <w:szCs w:val="24"/>
        </w:rPr>
      </w:pPr>
      <w:r w:rsidRPr="007D7279">
        <w:rPr>
          <w:rFonts w:asciiTheme="majorBidi" w:hAnsiTheme="majorBidi" w:cstheme="majorBidi"/>
          <w:sz w:val="24"/>
          <w:szCs w:val="24"/>
        </w:rPr>
        <w:t>Essence riche en oléfines</w:t>
      </w:r>
    </w:p>
    <w:p w:rsidR="00656AC8" w:rsidRPr="007D7279" w:rsidRDefault="00656AC8" w:rsidP="00F80F9A">
      <w:pPr>
        <w:pStyle w:val="Paragraphedeliste"/>
        <w:numPr>
          <w:ilvl w:val="0"/>
          <w:numId w:val="8"/>
        </w:numPr>
        <w:autoSpaceDE w:val="0"/>
        <w:autoSpaceDN w:val="0"/>
        <w:adjustRightInd w:val="0"/>
        <w:spacing w:after="0" w:line="360" w:lineRule="auto"/>
        <w:jc w:val="both"/>
        <w:rPr>
          <w:rFonts w:asciiTheme="majorBidi" w:hAnsiTheme="majorBidi" w:cstheme="majorBidi"/>
          <w:sz w:val="24"/>
          <w:szCs w:val="24"/>
        </w:rPr>
      </w:pPr>
      <w:r w:rsidRPr="007D7279">
        <w:rPr>
          <w:rFonts w:asciiTheme="majorBidi" w:hAnsiTheme="majorBidi" w:cstheme="majorBidi"/>
          <w:sz w:val="24"/>
          <w:szCs w:val="24"/>
        </w:rPr>
        <w:t>Gazole</w:t>
      </w:r>
    </w:p>
    <w:p w:rsidR="00656AC8" w:rsidRPr="00634E5D" w:rsidRDefault="00656AC8" w:rsidP="00F80F9A">
      <w:pPr>
        <w:pStyle w:val="Paragraphedeliste"/>
        <w:numPr>
          <w:ilvl w:val="0"/>
          <w:numId w:val="8"/>
        </w:numPr>
        <w:autoSpaceDE w:val="0"/>
        <w:autoSpaceDN w:val="0"/>
        <w:adjustRightInd w:val="0"/>
        <w:spacing w:after="0" w:line="360" w:lineRule="auto"/>
        <w:jc w:val="both"/>
        <w:rPr>
          <w:rFonts w:asciiTheme="majorBidi" w:hAnsiTheme="majorBidi" w:cstheme="majorBidi"/>
          <w:sz w:val="24"/>
          <w:szCs w:val="24"/>
        </w:rPr>
      </w:pPr>
      <w:r w:rsidRPr="007D7279">
        <w:rPr>
          <w:rFonts w:asciiTheme="majorBidi" w:hAnsiTheme="majorBidi" w:cstheme="majorBidi"/>
          <w:sz w:val="24"/>
          <w:szCs w:val="24"/>
        </w:rPr>
        <w:t>Fraction lourde</w:t>
      </w:r>
    </w:p>
    <w:p w:rsidR="00656AC8" w:rsidRPr="007D7279" w:rsidRDefault="00656AC8" w:rsidP="000B768D">
      <w:pPr>
        <w:spacing w:line="360" w:lineRule="auto"/>
        <w:jc w:val="center"/>
      </w:pPr>
      <w:r w:rsidRPr="007D7279">
        <w:rPr>
          <w:noProof/>
          <w:lang w:val="en-US" w:eastAsia="en-US"/>
        </w:rPr>
        <w:lastRenderedPageBreak/>
        <w:drawing>
          <wp:inline distT="0" distB="0" distL="0" distR="0">
            <wp:extent cx="4838700" cy="3429000"/>
            <wp:effectExtent l="19050" t="0" r="0" b="0"/>
            <wp:docPr id="1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srcRect/>
                    <a:stretch>
                      <a:fillRect/>
                    </a:stretch>
                  </pic:blipFill>
                  <pic:spPr bwMode="auto">
                    <a:xfrm>
                      <a:off x="0" y="0"/>
                      <a:ext cx="4838700" cy="3429000"/>
                    </a:xfrm>
                    <a:prstGeom prst="rect">
                      <a:avLst/>
                    </a:prstGeom>
                    <a:noFill/>
                    <a:ln w="9525">
                      <a:noFill/>
                      <a:miter lim="800000"/>
                      <a:headEnd/>
                      <a:tailEnd/>
                    </a:ln>
                  </pic:spPr>
                </pic:pic>
              </a:graphicData>
            </a:graphic>
          </wp:inline>
        </w:drawing>
      </w:r>
    </w:p>
    <w:p w:rsidR="00656AC8" w:rsidRPr="00841A6F" w:rsidRDefault="00656AC8" w:rsidP="000B768D">
      <w:pPr>
        <w:autoSpaceDE w:val="0"/>
        <w:autoSpaceDN w:val="0"/>
        <w:adjustRightInd w:val="0"/>
        <w:spacing w:line="360" w:lineRule="auto"/>
        <w:jc w:val="center"/>
        <w:rPr>
          <w:rFonts w:asciiTheme="majorBidi" w:hAnsiTheme="majorBidi" w:cstheme="majorBidi"/>
          <w:u w:val="single"/>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B701BA">
        <w:rPr>
          <w:rFonts w:asciiTheme="majorBidi" w:hAnsiTheme="majorBidi" w:cstheme="majorBidi"/>
          <w:b/>
          <w:bCs/>
          <w:u w:val="single"/>
        </w:rPr>
        <w:t>4. Procédé de  cokéfaction</w:t>
      </w:r>
      <w:r>
        <w:rPr>
          <w:rFonts w:asciiTheme="majorBidi" w:hAnsiTheme="majorBidi" w:cstheme="majorBidi"/>
          <w:u w:val="single"/>
        </w:rPr>
        <w:t xml:space="preserve"> </w:t>
      </w:r>
      <w:r w:rsidRPr="00C96A2F">
        <w:rPr>
          <w:rFonts w:asciiTheme="majorBidi" w:hAnsiTheme="majorBidi" w:cstheme="majorBidi"/>
        </w:rPr>
        <w:t>[</w:t>
      </w:r>
      <w:r>
        <w:rPr>
          <w:rFonts w:asciiTheme="majorBidi" w:hAnsiTheme="majorBidi" w:cstheme="majorBidi"/>
        </w:rPr>
        <w:t>2,4,5,6</w:t>
      </w:r>
      <w:r w:rsidRPr="00C96A2F">
        <w:rPr>
          <w:rFonts w:asciiTheme="majorBidi" w:hAnsiTheme="majorBidi" w:cstheme="majorBidi"/>
        </w:rPr>
        <w:t>]</w:t>
      </w:r>
    </w:p>
    <w:p w:rsidR="00656AC8" w:rsidRPr="007D7279" w:rsidRDefault="00656AC8" w:rsidP="00F80F9A">
      <w:pPr>
        <w:tabs>
          <w:tab w:val="left" w:pos="2550"/>
        </w:tabs>
        <w:spacing w:line="360" w:lineRule="auto"/>
        <w:jc w:val="both"/>
        <w:rPr>
          <w:rFonts w:asciiTheme="majorBidi" w:hAnsiTheme="majorBidi" w:cstheme="majorBidi"/>
        </w:rPr>
      </w:pPr>
    </w:p>
    <w:p w:rsidR="00656AC8" w:rsidRPr="007D7279" w:rsidRDefault="00656AC8" w:rsidP="000B768D">
      <w:pPr>
        <w:tabs>
          <w:tab w:val="left" w:pos="2550"/>
        </w:tabs>
        <w:spacing w:line="360" w:lineRule="auto"/>
        <w:jc w:val="center"/>
        <w:rPr>
          <w:rFonts w:asciiTheme="majorBidi" w:hAnsiTheme="majorBidi" w:cstheme="majorBidi"/>
        </w:rPr>
      </w:pPr>
      <w:r w:rsidRPr="007D7279">
        <w:rPr>
          <w:noProof/>
          <w:sz w:val="28"/>
          <w:szCs w:val="28"/>
          <w:lang w:val="en-US" w:eastAsia="en-US"/>
        </w:rPr>
        <w:drawing>
          <wp:inline distT="0" distB="0" distL="0" distR="0">
            <wp:extent cx="5970991" cy="3486150"/>
            <wp:effectExtent l="19050" t="0" r="0" b="0"/>
            <wp:docPr id="17" name="Image 4" descr="c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k"/>
                    <pic:cNvPicPr>
                      <a:picLocks noChangeAspect="1" noChangeArrowheads="1"/>
                    </pic:cNvPicPr>
                  </pic:nvPicPr>
                  <pic:blipFill>
                    <a:blip r:embed="rId19"/>
                    <a:srcRect/>
                    <a:stretch>
                      <a:fillRect/>
                    </a:stretch>
                  </pic:blipFill>
                  <pic:spPr bwMode="auto">
                    <a:xfrm>
                      <a:off x="0" y="0"/>
                      <a:ext cx="5972810" cy="3487212"/>
                    </a:xfrm>
                    <a:prstGeom prst="rect">
                      <a:avLst/>
                    </a:prstGeom>
                    <a:noFill/>
                    <a:ln w="9525">
                      <a:noFill/>
                      <a:miter lim="800000"/>
                      <a:headEnd/>
                      <a:tailEnd/>
                    </a:ln>
                  </pic:spPr>
                </pic:pic>
              </a:graphicData>
            </a:graphic>
          </wp:inline>
        </w:drawing>
      </w:r>
    </w:p>
    <w:p w:rsidR="00656AC8" w:rsidRDefault="00656AC8" w:rsidP="000B768D">
      <w:pPr>
        <w:spacing w:line="360" w:lineRule="auto"/>
        <w:jc w:val="center"/>
        <w:rPr>
          <w:u w:val="single"/>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B701BA">
        <w:rPr>
          <w:rFonts w:asciiTheme="majorBidi" w:hAnsiTheme="majorBidi" w:cstheme="majorBidi"/>
          <w:b/>
          <w:iCs/>
          <w:u w:val="single"/>
        </w:rPr>
        <w:t xml:space="preserve">5. Procédé de la famille de la cokéfaction retardée </w:t>
      </w:r>
      <w:r w:rsidRPr="00C96A2F">
        <w:rPr>
          <w:rFonts w:asciiTheme="majorBidi" w:hAnsiTheme="majorBidi" w:cstheme="majorBidi"/>
        </w:rPr>
        <w:t>[</w:t>
      </w:r>
      <w:r>
        <w:rPr>
          <w:rFonts w:asciiTheme="majorBidi" w:hAnsiTheme="majorBidi" w:cstheme="majorBidi"/>
        </w:rPr>
        <w:t>2,,4,5,6</w:t>
      </w:r>
      <w:r w:rsidRPr="00C96A2F">
        <w:rPr>
          <w:rFonts w:asciiTheme="majorBidi" w:hAnsiTheme="majorBidi" w:cstheme="majorBidi"/>
        </w:rPr>
        <w:t>]</w:t>
      </w:r>
    </w:p>
    <w:p w:rsidR="00656AC8" w:rsidRDefault="00656AC8" w:rsidP="00F80F9A">
      <w:pPr>
        <w:spacing w:line="360" w:lineRule="auto"/>
        <w:jc w:val="both"/>
        <w:rPr>
          <w:u w:val="single"/>
        </w:rPr>
      </w:pPr>
    </w:p>
    <w:p w:rsidR="00656AC8" w:rsidRDefault="00656AC8" w:rsidP="00F80F9A">
      <w:pPr>
        <w:spacing w:line="360" w:lineRule="auto"/>
        <w:jc w:val="both"/>
        <w:rPr>
          <w:u w:val="single"/>
        </w:rPr>
      </w:pPr>
    </w:p>
    <w:p w:rsidR="0098240B" w:rsidRDefault="0098240B" w:rsidP="00F80F9A">
      <w:pPr>
        <w:spacing w:line="360" w:lineRule="auto"/>
        <w:jc w:val="both"/>
        <w:rPr>
          <w:u w:val="single"/>
        </w:rPr>
      </w:pPr>
    </w:p>
    <w:p w:rsidR="0098240B" w:rsidRPr="00647BB2" w:rsidRDefault="0098240B" w:rsidP="00F80F9A">
      <w:pPr>
        <w:spacing w:line="360" w:lineRule="auto"/>
        <w:jc w:val="both"/>
        <w:rPr>
          <w:u w:val="single"/>
        </w:rPr>
      </w:pPr>
    </w:p>
    <w:p w:rsidR="00656AC8" w:rsidRPr="00F531EB" w:rsidRDefault="00656AC8" w:rsidP="00F80F9A">
      <w:pPr>
        <w:spacing w:before="100" w:beforeAutospacing="1" w:after="100" w:afterAutospacing="1" w:line="360" w:lineRule="auto"/>
        <w:jc w:val="both"/>
        <w:rPr>
          <w:b/>
          <w:bCs/>
        </w:rPr>
      </w:pPr>
      <w:r w:rsidRPr="00F531EB">
        <w:rPr>
          <w:b/>
          <w:bCs/>
        </w:rPr>
        <w:lastRenderedPageBreak/>
        <w:t>I.5.5. Craquage catalytique en lit fluidisé FFC (Catalytic Cracking) de distillat sous vide :</w:t>
      </w:r>
    </w:p>
    <w:p w:rsidR="00656AC8" w:rsidRDefault="00656AC8" w:rsidP="00F80F9A">
      <w:pPr>
        <w:spacing w:before="100" w:beforeAutospacing="1" w:after="100" w:afterAutospacing="1" w:line="360" w:lineRule="auto"/>
        <w:jc w:val="both"/>
      </w:pPr>
      <w:r w:rsidRPr="007D7279">
        <w:t xml:space="preserve">Le craquage catalytique en </w:t>
      </w:r>
      <w:hyperlink r:id="rId20" w:tooltip="Lit fluidisé" w:history="1">
        <w:r w:rsidRPr="007D7279">
          <w:t>lit fluidisé</w:t>
        </w:r>
      </w:hyperlink>
      <w:r w:rsidRPr="007D7279">
        <w:t xml:space="preserve"> est un procédé de raffinage qui a pour but de transformer, en présence d'un catalyseur, les cou</w:t>
      </w:r>
      <w:r>
        <w:t xml:space="preserve">pes lourdes à longues chaînes </w:t>
      </w:r>
      <w:r w:rsidRPr="007D7279">
        <w:t xml:space="preserve">hydrocarbonées en coupes légères pour être utilisées dans la fabrication du carburant. Le </w:t>
      </w:r>
      <w:r>
        <w:t>c</w:t>
      </w:r>
      <w:r w:rsidRPr="007D7279">
        <w:t>raquage catalytique en lit fluid</w:t>
      </w:r>
      <w:r>
        <w:t>isé</w:t>
      </w:r>
      <w:r w:rsidRPr="007D7279">
        <w:t xml:space="preserve"> donne principalement des essences et des oléfines (propylène, butylène). </w:t>
      </w:r>
    </w:p>
    <w:p w:rsidR="00656AC8" w:rsidRPr="007D7279" w:rsidRDefault="00656AC8" w:rsidP="00F80F9A">
      <w:pPr>
        <w:spacing w:before="100" w:beforeAutospacing="1" w:after="100" w:afterAutospacing="1" w:line="360" w:lineRule="auto"/>
        <w:jc w:val="both"/>
      </w:pPr>
      <w:r w:rsidRPr="007D7279">
        <w:t>En présence du catalyseur, à haute température (450 à 550 °C) et à pression atmosphérique, on casse les grosses molécules hydrocarbonées pour avoir de petites molécules ayant un indice d'octane élevé.</w:t>
      </w:r>
    </w:p>
    <w:p w:rsidR="00656AC8" w:rsidRPr="00745CB8" w:rsidRDefault="00656AC8" w:rsidP="00F80F9A">
      <w:pPr>
        <w:spacing w:line="360" w:lineRule="auto"/>
        <w:jc w:val="both"/>
        <w:rPr>
          <w:u w:val="single"/>
        </w:rPr>
      </w:pPr>
      <w:r w:rsidRPr="007D7279">
        <w:t>Les premiers catalyseurs étaient constitués par des alumin</w:t>
      </w:r>
      <w:r>
        <w:t>os</w:t>
      </w:r>
      <w:r w:rsidRPr="007D7279">
        <w:t>ilica</w:t>
      </w:r>
      <w:r>
        <w:t>tes</w:t>
      </w:r>
      <w:r w:rsidRPr="007D7279">
        <w:t xml:space="preserve"> dont le caractère acide active la rupture des liaisons entre les atomes de carbone. Ces catalyseurs ont été améliorés par l'incorporation des tamis moléculaires. Ainsi les opérations de craquage peuvent être conduites à des températures moins élevées sous pression normale. Les dépôts de coke constituent un problème technologique principal à résoudre car il impose une régénération permanente du catalyseur.</w:t>
      </w:r>
      <w:r w:rsidRPr="00745CB8">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2,4,6,31</w:t>
      </w:r>
      <w:r w:rsidRPr="00C96A2F">
        <w:rPr>
          <w:rFonts w:asciiTheme="majorBidi" w:hAnsiTheme="majorBidi" w:cstheme="majorBidi"/>
        </w:rPr>
        <w:t>]</w:t>
      </w:r>
    </w:p>
    <w:p w:rsidR="00656AC8" w:rsidRPr="007D7279" w:rsidRDefault="00656AC8" w:rsidP="00F80F9A">
      <w:pPr>
        <w:spacing w:before="100" w:beforeAutospacing="1" w:after="100" w:afterAutospacing="1" w:line="360" w:lineRule="auto"/>
        <w:jc w:val="both"/>
      </w:pPr>
      <w:r w:rsidRPr="007D7279">
        <w:t xml:space="preserve">Le craquage catalytique en </w:t>
      </w:r>
      <w:hyperlink r:id="rId21" w:tooltip="Lit fluidisé" w:history="1">
        <w:r w:rsidRPr="007D7279">
          <w:t>lit fluidisé</w:t>
        </w:r>
      </w:hyperlink>
      <w:r w:rsidRPr="007D7279">
        <w:t xml:space="preserve"> est basé sur l'utilisation d'un </w:t>
      </w:r>
      <w:hyperlink r:id="rId22" w:tooltip="Lit fluidisé" w:history="1">
        <w:r w:rsidRPr="007D7279">
          <w:t>lit fluide</w:t>
        </w:r>
      </w:hyperlink>
      <w:r w:rsidRPr="007D7279">
        <w:t xml:space="preserve"> de catalyseur. Le catalyseur, d'une grosseur de quelques 50 micromètres environ, est en suspension dans la charge, laquelle, après préchauffage, est injectée dans le réacteur sous forme gazeuse. Dans ce procédé, le catalyseur s'écoule de manière continue, vers le régénérateur dans lequel est soufflé l'air de combustion, puis retourne au réacteur. C'est pour cette raison qu'on </w:t>
      </w:r>
      <w:r>
        <w:t>t</w:t>
      </w:r>
      <w:r w:rsidRPr="007D7279">
        <w:t>’appelle Fluid Catalytic Cracking</w:t>
      </w:r>
    </w:p>
    <w:p w:rsidR="00656AC8" w:rsidRPr="00745CB8" w:rsidRDefault="00656AC8" w:rsidP="00F80F9A">
      <w:pPr>
        <w:spacing w:line="360" w:lineRule="auto"/>
        <w:jc w:val="both"/>
        <w:rPr>
          <w:u w:val="single"/>
        </w:rPr>
      </w:pPr>
      <w:r w:rsidRPr="007D7279">
        <w:t>Les charges qui alimentent le FCC viennent de la distillation sous vide, ce sont les distillats léger et lourd sous vide. Après passage des charges dans les réacteurs, l'ensemble des produits issus passe dans une colonne de fractionnement et à la sortie on peut recueillir les produits suivants :</w:t>
      </w:r>
      <w:r w:rsidRPr="00745CB8">
        <w:rPr>
          <w:rFonts w:asciiTheme="majorBidi" w:hAnsiTheme="majorBidi" w:cstheme="majorBidi"/>
        </w:rPr>
        <w:t xml:space="preserve"> </w:t>
      </w:r>
    </w:p>
    <w:p w:rsidR="00656AC8" w:rsidRPr="007D7279" w:rsidRDefault="00656AC8" w:rsidP="00F80F9A">
      <w:pPr>
        <w:numPr>
          <w:ilvl w:val="0"/>
          <w:numId w:val="9"/>
        </w:numPr>
        <w:spacing w:before="100" w:beforeAutospacing="1" w:after="100" w:afterAutospacing="1" w:line="360" w:lineRule="auto"/>
        <w:jc w:val="both"/>
      </w:pPr>
      <w:r w:rsidRPr="007D7279">
        <w:t>Le fuel gaz qui est dirigé vers le réseau gaz</w:t>
      </w:r>
      <w:r>
        <w:t xml:space="preserve"> fuel</w:t>
      </w:r>
      <w:r w:rsidRPr="007D7279">
        <w:t xml:space="preserve">, </w:t>
      </w:r>
    </w:p>
    <w:p w:rsidR="00656AC8" w:rsidRPr="007D7279" w:rsidRDefault="00656AC8" w:rsidP="00F80F9A">
      <w:pPr>
        <w:numPr>
          <w:ilvl w:val="0"/>
          <w:numId w:val="9"/>
        </w:numPr>
        <w:spacing w:before="100" w:beforeAutospacing="1" w:after="100" w:afterAutospacing="1" w:line="360" w:lineRule="auto"/>
        <w:jc w:val="both"/>
      </w:pPr>
      <w:r w:rsidRPr="007D7279">
        <w:t>la coupe C</w:t>
      </w:r>
      <w:r w:rsidRPr="007D7279">
        <w:rPr>
          <w:vertAlign w:val="subscript"/>
        </w:rPr>
        <w:t>3</w:t>
      </w:r>
      <w:r w:rsidRPr="007D7279">
        <w:t>/C</w:t>
      </w:r>
      <w:r w:rsidRPr="007D7279">
        <w:rPr>
          <w:vertAlign w:val="subscript"/>
        </w:rPr>
        <w:t>4</w:t>
      </w:r>
      <w:r w:rsidRPr="007D7279">
        <w:t xml:space="preserve"> qui sera traitée au gaz plant, cette coupe contient beaucoup d'oléfines telles que les butènes. </w:t>
      </w:r>
    </w:p>
    <w:p w:rsidR="00656AC8" w:rsidRPr="007D7279" w:rsidRDefault="00656AC8" w:rsidP="00F80F9A">
      <w:pPr>
        <w:numPr>
          <w:ilvl w:val="0"/>
          <w:numId w:val="9"/>
        </w:numPr>
        <w:spacing w:before="100" w:beforeAutospacing="1" w:after="100" w:afterAutospacing="1" w:line="360" w:lineRule="auto"/>
        <w:jc w:val="both"/>
      </w:pPr>
      <w:r w:rsidRPr="007D7279">
        <w:t xml:space="preserve">l'essence totale de FCC qui, après désulfuration, sera utilisée dans la fabrication des carburants, </w:t>
      </w:r>
    </w:p>
    <w:p w:rsidR="00656AC8" w:rsidRPr="007D7279" w:rsidRDefault="00656AC8" w:rsidP="00F80F9A">
      <w:pPr>
        <w:numPr>
          <w:ilvl w:val="0"/>
          <w:numId w:val="9"/>
        </w:numPr>
        <w:spacing w:before="100" w:beforeAutospacing="1" w:after="100" w:afterAutospacing="1" w:line="360" w:lineRule="auto"/>
        <w:jc w:val="both"/>
      </w:pPr>
      <w:r w:rsidRPr="007D7279">
        <w:lastRenderedPageBreak/>
        <w:t xml:space="preserve">le gazole léger de FCC sera utilisé pour fabriquer le gazole moteur ou le gazole de chauffage, </w:t>
      </w:r>
    </w:p>
    <w:p w:rsidR="00656AC8" w:rsidRPr="007D7279" w:rsidRDefault="00656AC8" w:rsidP="00F80F9A">
      <w:pPr>
        <w:numPr>
          <w:ilvl w:val="0"/>
          <w:numId w:val="9"/>
        </w:numPr>
        <w:spacing w:before="100" w:beforeAutospacing="1" w:after="100" w:afterAutospacing="1" w:line="360" w:lineRule="auto"/>
        <w:jc w:val="both"/>
      </w:pPr>
      <w:r w:rsidRPr="007D7279">
        <w:t xml:space="preserve">le gazole lourd de FCC sera utilisé dans la fabrication du fioul. </w:t>
      </w:r>
    </w:p>
    <w:p w:rsidR="00656AC8" w:rsidRPr="000A6D37" w:rsidRDefault="00656AC8" w:rsidP="00F80F9A">
      <w:pPr>
        <w:spacing w:line="360" w:lineRule="auto"/>
        <w:jc w:val="both"/>
        <w:rPr>
          <w:rFonts w:asciiTheme="majorBidi" w:hAnsiTheme="majorBidi" w:cstheme="majorBidi"/>
        </w:rPr>
      </w:pPr>
      <w:r w:rsidRPr="000A6D37">
        <w:rPr>
          <w:rFonts w:asciiTheme="majorBidi" w:hAnsiTheme="majorBidi" w:cstheme="majorBidi"/>
        </w:rPr>
        <w:t>A partir des gaz de craquage qui contiennent beaucoup d'ol</w:t>
      </w:r>
      <w:r>
        <w:rPr>
          <w:rFonts w:asciiTheme="majorBidi" w:hAnsiTheme="majorBidi" w:cstheme="majorBidi"/>
        </w:rPr>
        <w:t xml:space="preserve">éfines, on peut, par </w:t>
      </w:r>
      <w:r w:rsidRPr="000A6D37">
        <w:rPr>
          <w:rFonts w:asciiTheme="majorBidi" w:hAnsiTheme="majorBidi" w:cstheme="majorBidi"/>
        </w:rPr>
        <w:t>alkylation</w:t>
      </w:r>
      <w:r>
        <w:rPr>
          <w:rFonts w:asciiTheme="majorBidi" w:hAnsiTheme="majorBidi" w:cstheme="majorBidi"/>
        </w:rPr>
        <w:t xml:space="preserve"> </w:t>
      </w:r>
      <w:r w:rsidRPr="000A6D37">
        <w:rPr>
          <w:rFonts w:asciiTheme="majorBidi" w:hAnsiTheme="majorBidi" w:cstheme="majorBidi"/>
        </w:rPr>
        <w:t>(polymérisation), réaliser la synthèse d'essences à haut indice d'octane.</w:t>
      </w:r>
    </w:p>
    <w:p w:rsidR="00656AC8" w:rsidRPr="007D7279" w:rsidRDefault="00656AC8" w:rsidP="000B768D">
      <w:pPr>
        <w:jc w:val="center"/>
        <w:rPr>
          <w:u w:val="single"/>
        </w:rPr>
      </w:pPr>
      <w:r w:rsidRPr="007D7279">
        <w:rPr>
          <w:noProof/>
          <w:u w:val="single"/>
          <w:lang w:val="en-US" w:eastAsia="en-US"/>
        </w:rPr>
        <w:drawing>
          <wp:inline distT="0" distB="0" distL="0" distR="0">
            <wp:extent cx="5274310" cy="2371160"/>
            <wp:effectExtent l="19050" t="0" r="2540" b="0"/>
            <wp:docPr id="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srcRect l="50628" t="21834" b="41921"/>
                    <a:stretch>
                      <a:fillRect/>
                    </a:stretch>
                  </pic:blipFill>
                  <pic:spPr bwMode="auto">
                    <a:xfrm>
                      <a:off x="0" y="0"/>
                      <a:ext cx="5274310" cy="2371160"/>
                    </a:xfrm>
                    <a:prstGeom prst="rect">
                      <a:avLst/>
                    </a:prstGeom>
                    <a:noFill/>
                    <a:ln w="9525">
                      <a:noFill/>
                      <a:miter lim="800000"/>
                      <a:headEnd/>
                      <a:tailEnd/>
                    </a:ln>
                  </pic:spPr>
                </pic:pic>
              </a:graphicData>
            </a:graphic>
          </wp:inline>
        </w:drawing>
      </w:r>
    </w:p>
    <w:p w:rsidR="00656AC8" w:rsidRPr="000B768D" w:rsidRDefault="00656AC8" w:rsidP="000B768D">
      <w:pPr>
        <w:spacing w:line="360" w:lineRule="auto"/>
        <w:jc w:val="center"/>
        <w:rPr>
          <w:u w:val="single"/>
        </w:rPr>
      </w:pPr>
      <w:r w:rsidRPr="000B768D">
        <w:rPr>
          <w:rFonts w:asciiTheme="majorBidi" w:hAnsiTheme="majorBidi" w:cstheme="majorBidi"/>
          <w:b/>
          <w:bCs/>
          <w:u w:val="single"/>
        </w:rPr>
        <w:t>Figure.I.</w:t>
      </w:r>
      <w:r w:rsidRPr="000B768D">
        <w:rPr>
          <w:rStyle w:val="longtext1"/>
          <w:rFonts w:asciiTheme="majorBidi" w:hAnsiTheme="majorBidi" w:cstheme="majorBidi"/>
          <w:b/>
          <w:bCs/>
          <w:sz w:val="24"/>
          <w:szCs w:val="24"/>
          <w:u w:val="single"/>
        </w:rPr>
        <w:t>6. Unité de craquage catalytique</w:t>
      </w:r>
      <w:r w:rsidRPr="000B768D">
        <w:rPr>
          <w:rStyle w:val="longtext1"/>
          <w:rFonts w:asciiTheme="majorBidi" w:hAnsiTheme="majorBidi" w:cstheme="majorBidi"/>
          <w:sz w:val="24"/>
          <w:szCs w:val="24"/>
          <w:u w:val="single"/>
        </w:rPr>
        <w:t xml:space="preserve"> </w:t>
      </w:r>
      <w:r w:rsidRPr="000B768D">
        <w:rPr>
          <w:rFonts w:asciiTheme="majorBidi" w:hAnsiTheme="majorBidi" w:cstheme="majorBidi"/>
        </w:rPr>
        <w:t>[2,4,6]</w:t>
      </w:r>
    </w:p>
    <w:p w:rsidR="00656AC8" w:rsidRDefault="00656AC8" w:rsidP="00F80F9A">
      <w:pPr>
        <w:spacing w:before="100" w:beforeAutospacing="1" w:after="100" w:afterAutospacing="1" w:line="360" w:lineRule="auto"/>
        <w:jc w:val="both"/>
        <w:rPr>
          <w:u w:val="single"/>
        </w:rPr>
      </w:pPr>
    </w:p>
    <w:p w:rsidR="00656AC8" w:rsidRPr="00F531EB" w:rsidRDefault="00656AC8" w:rsidP="00F80F9A">
      <w:pPr>
        <w:spacing w:before="100" w:beforeAutospacing="1" w:after="100" w:afterAutospacing="1" w:line="360" w:lineRule="auto"/>
        <w:jc w:val="both"/>
        <w:rPr>
          <w:b/>
          <w:bCs/>
        </w:rPr>
      </w:pPr>
      <w:r w:rsidRPr="00F531EB">
        <w:rPr>
          <w:b/>
          <w:bCs/>
        </w:rPr>
        <w:t>I.5.6. Hydrocraquage (hydrocracking) du résidu atmosphérique désasphalté et du distillat sous vide :</w:t>
      </w:r>
    </w:p>
    <w:p w:rsidR="00656AC8" w:rsidRPr="007D7279" w:rsidRDefault="00656AC8" w:rsidP="00F80F9A">
      <w:pPr>
        <w:spacing w:before="100" w:beforeAutospacing="1" w:after="100" w:afterAutospacing="1" w:line="360" w:lineRule="auto"/>
        <w:jc w:val="both"/>
      </w:pPr>
      <w:r w:rsidRPr="007D7279">
        <w:t xml:space="preserve">L'hydrocraquage est un procédé permettant de convertir des </w:t>
      </w:r>
      <w:r>
        <w:t>d</w:t>
      </w:r>
      <w:r w:rsidRPr="007D7279">
        <w:t xml:space="preserve">istillats lourds de pétrole en coupes légères à haute valeur </w:t>
      </w:r>
      <w:r>
        <w:t>économique</w:t>
      </w:r>
      <w:r w:rsidRPr="007D7279">
        <w:t xml:space="preserve">. Ce procédé est mis en œuvre sous une forte température de l'ordre </w:t>
      </w:r>
      <w:r>
        <w:t xml:space="preserve">de </w:t>
      </w:r>
      <w:r w:rsidRPr="007D7279">
        <w:t>250 à 450 °C et une forte pression d'hydrogène (entre 50 et 150 bars), en présence d'un catalyseur en lit fixe.</w:t>
      </w:r>
    </w:p>
    <w:p w:rsidR="00656AC8" w:rsidRPr="007D7279" w:rsidRDefault="00656AC8" w:rsidP="00F80F9A">
      <w:pPr>
        <w:spacing w:before="100" w:beforeAutospacing="1" w:after="100" w:afterAutospacing="1" w:line="360" w:lineRule="auto"/>
        <w:jc w:val="both"/>
      </w:pPr>
      <w:r w:rsidRPr="007D7279">
        <w:t>À cette température, il y a craquage des molécules longues et apparition des molécules oléfiniques. Mais en présence d'hydrogène sous haute pression, il y a hydrogénation partielle de ces oléfines et aussi des aromatiques formés. Des intermédiaires lourds sont à l'origine de la formation du coke. Il faut signaler également qu'avec ce procédé, la consommation d'hydrogène est assez importante, de l'ordre de 200 à 700 m³ d'H</w:t>
      </w:r>
      <w:r w:rsidRPr="00597C48">
        <w:rPr>
          <w:vertAlign w:val="subscript"/>
        </w:rPr>
        <w:t>2</w:t>
      </w:r>
      <w:r w:rsidRPr="007D7279">
        <w:t>/m</w:t>
      </w:r>
      <w:r w:rsidRPr="00597C48">
        <w:rPr>
          <w:vertAlign w:val="superscript"/>
        </w:rPr>
        <w:t>3</w:t>
      </w:r>
      <w:r w:rsidRPr="007D7279">
        <w:t xml:space="preserve"> de charge.</w:t>
      </w:r>
      <w:r w:rsidRPr="00745CB8">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2,4,7,31</w:t>
      </w:r>
      <w:r w:rsidRPr="00C96A2F">
        <w:rPr>
          <w:rFonts w:asciiTheme="majorBidi" w:hAnsiTheme="majorBidi" w:cstheme="majorBidi"/>
        </w:rPr>
        <w:t>]</w:t>
      </w:r>
    </w:p>
    <w:p w:rsidR="00656AC8" w:rsidRPr="007D7279" w:rsidRDefault="00656AC8" w:rsidP="00F80F9A">
      <w:pPr>
        <w:spacing w:before="100" w:beforeAutospacing="1" w:after="100" w:afterAutospacing="1" w:line="360" w:lineRule="auto"/>
        <w:jc w:val="both"/>
      </w:pPr>
      <w:r w:rsidRPr="007D7279">
        <w:t>Les charges utilisées dans ce procédé sont des distillats légers et lourds sous vide ainsi que du distillat lourd de viscoréducteur.</w:t>
      </w:r>
    </w:p>
    <w:p w:rsidR="00656AC8" w:rsidRDefault="00656AC8" w:rsidP="00F80F9A">
      <w:pPr>
        <w:spacing w:before="100" w:beforeAutospacing="1" w:after="100" w:afterAutospacing="1" w:line="360" w:lineRule="auto"/>
        <w:jc w:val="both"/>
      </w:pPr>
      <w:r w:rsidRPr="007D7279">
        <w:lastRenderedPageBreak/>
        <w:t>L'hydrocraqueur émet des gaz à effet de serre indirectement lors de la fabrication d'hydrogène à partir d</w:t>
      </w:r>
      <w:r>
        <w:t>u</w:t>
      </w:r>
      <w:r w:rsidRPr="007D7279">
        <w:t xml:space="preserve"> gaz naturel dans un Steam Methane Reforming. Le </w:t>
      </w:r>
      <w:r>
        <w:t>c</w:t>
      </w:r>
      <w:r w:rsidRPr="007D7279">
        <w:t>raquage catalytique en lit fluid</w:t>
      </w:r>
      <w:r>
        <w:t>isé</w:t>
      </w:r>
      <w:r w:rsidRPr="007D7279">
        <w:t xml:space="preserve"> émet des gaz à effet de serre lors de la régénération du catalyseur par combustion du coke déposé sur ce dernier.</w:t>
      </w:r>
      <w:r>
        <w:t xml:space="preserve"> </w:t>
      </w:r>
    </w:p>
    <w:p w:rsidR="00656AC8" w:rsidRPr="0098240B" w:rsidRDefault="00656AC8" w:rsidP="00F80F9A">
      <w:pPr>
        <w:spacing w:before="100" w:beforeAutospacing="1" w:after="100" w:afterAutospacing="1" w:line="360" w:lineRule="auto"/>
        <w:jc w:val="both"/>
        <w:rPr>
          <w:rFonts w:asciiTheme="majorBidi" w:hAnsiTheme="majorBidi" w:cstheme="majorBidi"/>
        </w:rPr>
      </w:pPr>
      <w:r w:rsidRPr="001E5D81">
        <w:rPr>
          <w:rFonts w:asciiTheme="majorBidi" w:hAnsiTheme="majorBidi" w:cstheme="majorBidi"/>
        </w:rPr>
        <w:t>L'hydrocraquage ajoute de l'hydrogène à la charge craquée tout en la désulfurant et donne principalement du gasoil pour le moteur Diesel et du kérosène pour les avions.</w:t>
      </w:r>
    </w:p>
    <w:p w:rsidR="00656AC8" w:rsidRPr="007D7279" w:rsidRDefault="00656AC8" w:rsidP="00F80F9A">
      <w:pPr>
        <w:spacing w:before="100" w:beforeAutospacing="1" w:after="100" w:afterAutospacing="1" w:line="360" w:lineRule="auto"/>
        <w:jc w:val="both"/>
      </w:pPr>
      <w:r w:rsidRPr="007D7279">
        <w:t xml:space="preserve">Les </w:t>
      </w:r>
      <w:r>
        <w:t>produits</w:t>
      </w:r>
      <w:r w:rsidRPr="007D7279">
        <w:t xml:space="preserve"> issus de l'unité après fractionnement sont :</w:t>
      </w:r>
      <w:r w:rsidRPr="00745CB8">
        <w:rPr>
          <w:rFonts w:asciiTheme="majorBidi" w:hAnsiTheme="majorBidi" w:cstheme="majorBidi"/>
        </w:rPr>
        <w:t xml:space="preserve"> </w:t>
      </w:r>
    </w:p>
    <w:p w:rsidR="00656AC8" w:rsidRPr="007D7279" w:rsidRDefault="00656AC8" w:rsidP="00F80F9A">
      <w:pPr>
        <w:numPr>
          <w:ilvl w:val="0"/>
          <w:numId w:val="10"/>
        </w:numPr>
        <w:spacing w:before="100" w:beforeAutospacing="1" w:after="100" w:afterAutospacing="1" w:line="360" w:lineRule="auto"/>
        <w:jc w:val="both"/>
      </w:pPr>
      <w:r w:rsidRPr="007D7279">
        <w:t xml:space="preserve">le fuel gaz dirigé vers le réseau de gaz combustible, </w:t>
      </w:r>
    </w:p>
    <w:p w:rsidR="00656AC8" w:rsidRPr="007D7279" w:rsidRDefault="00656AC8" w:rsidP="00F80F9A">
      <w:pPr>
        <w:numPr>
          <w:ilvl w:val="0"/>
          <w:numId w:val="10"/>
        </w:numPr>
        <w:spacing w:before="100" w:beforeAutospacing="1" w:after="100" w:afterAutospacing="1" w:line="360" w:lineRule="auto"/>
        <w:jc w:val="both"/>
      </w:pPr>
      <w:r w:rsidRPr="007D7279">
        <w:t>la coupe C</w:t>
      </w:r>
      <w:r w:rsidRPr="007D7279">
        <w:rPr>
          <w:vertAlign w:val="subscript"/>
        </w:rPr>
        <w:t>3</w:t>
      </w:r>
      <w:r w:rsidRPr="007D7279">
        <w:t>/C</w:t>
      </w:r>
      <w:r w:rsidRPr="007D7279">
        <w:rPr>
          <w:vertAlign w:val="subscript"/>
        </w:rPr>
        <w:t>4 </w:t>
      </w:r>
      <w:r w:rsidRPr="007D7279">
        <w:t xml:space="preserve">; </w:t>
      </w:r>
      <w:r>
        <w:t>elle</w:t>
      </w:r>
      <w:r w:rsidRPr="007D7279">
        <w:t xml:space="preserve"> contient une bonne quantité d'oléfines (du butadiène et des butènes), </w:t>
      </w:r>
    </w:p>
    <w:p w:rsidR="00656AC8" w:rsidRPr="007D7279" w:rsidRDefault="00656AC8" w:rsidP="00F80F9A">
      <w:pPr>
        <w:numPr>
          <w:ilvl w:val="0"/>
          <w:numId w:val="10"/>
        </w:numPr>
        <w:spacing w:before="100" w:beforeAutospacing="1" w:after="100" w:afterAutospacing="1" w:line="360" w:lineRule="auto"/>
        <w:jc w:val="both"/>
      </w:pPr>
      <w:r w:rsidRPr="007D7279">
        <w:t xml:space="preserve">le naphta léger servant aux mélanges de carburants, </w:t>
      </w:r>
    </w:p>
    <w:p w:rsidR="00656AC8" w:rsidRPr="007D7279" w:rsidRDefault="00656AC8" w:rsidP="00F80F9A">
      <w:pPr>
        <w:numPr>
          <w:ilvl w:val="0"/>
          <w:numId w:val="10"/>
        </w:numPr>
        <w:spacing w:before="100" w:beforeAutospacing="1" w:after="100" w:afterAutospacing="1" w:line="360" w:lineRule="auto"/>
        <w:jc w:val="both"/>
      </w:pPr>
      <w:r w:rsidRPr="007D7279">
        <w:t xml:space="preserve">le naphta lourd utilisé comme charge de reformeur, </w:t>
      </w:r>
    </w:p>
    <w:p w:rsidR="00656AC8" w:rsidRPr="007D7279" w:rsidRDefault="00656AC8" w:rsidP="00F80F9A">
      <w:pPr>
        <w:numPr>
          <w:ilvl w:val="0"/>
          <w:numId w:val="10"/>
        </w:numPr>
        <w:spacing w:before="100" w:beforeAutospacing="1" w:after="100" w:afterAutospacing="1" w:line="360" w:lineRule="auto"/>
        <w:jc w:val="both"/>
      </w:pPr>
      <w:r w:rsidRPr="007D7279">
        <w:t xml:space="preserve">le kérosène pour pool kérosène, </w:t>
      </w:r>
    </w:p>
    <w:p w:rsidR="00656AC8" w:rsidRPr="007D7279" w:rsidRDefault="00656AC8" w:rsidP="00F80F9A">
      <w:pPr>
        <w:numPr>
          <w:ilvl w:val="0"/>
          <w:numId w:val="10"/>
        </w:numPr>
        <w:spacing w:before="100" w:beforeAutospacing="1" w:after="100" w:afterAutospacing="1" w:line="360" w:lineRule="auto"/>
        <w:jc w:val="both"/>
      </w:pPr>
      <w:r w:rsidRPr="007D7279">
        <w:t xml:space="preserve">le gazole pour pool gazole, </w:t>
      </w:r>
    </w:p>
    <w:p w:rsidR="00656AC8" w:rsidRPr="007D7279" w:rsidRDefault="00656AC8" w:rsidP="00F80F9A">
      <w:pPr>
        <w:numPr>
          <w:ilvl w:val="0"/>
          <w:numId w:val="10"/>
        </w:numPr>
        <w:spacing w:before="100" w:beforeAutospacing="1" w:after="100" w:afterAutospacing="1" w:line="360" w:lineRule="auto"/>
        <w:jc w:val="both"/>
      </w:pPr>
      <w:r w:rsidRPr="007D7279">
        <w:t xml:space="preserve">le résidu pour pool fioul. </w:t>
      </w:r>
    </w:p>
    <w:p w:rsidR="00656AC8" w:rsidRPr="007D7279" w:rsidRDefault="00656AC8" w:rsidP="000B768D">
      <w:pPr>
        <w:spacing w:before="100" w:beforeAutospacing="1" w:after="100" w:afterAutospacing="1" w:line="360" w:lineRule="auto"/>
        <w:ind w:left="720"/>
        <w:jc w:val="center"/>
      </w:pPr>
      <w:r w:rsidRPr="007D7279">
        <w:rPr>
          <w:noProof/>
          <w:lang w:val="en-US" w:eastAsia="en-US"/>
        </w:rPr>
        <w:drawing>
          <wp:inline distT="0" distB="0" distL="0" distR="0">
            <wp:extent cx="4448175" cy="3676650"/>
            <wp:effectExtent l="19050" t="0" r="9525" b="0"/>
            <wp:docPr id="8" name="Image 19" descr="pict0.jpg"/>
            <wp:cNvGraphicFramePr/>
            <a:graphic xmlns:a="http://schemas.openxmlformats.org/drawingml/2006/main">
              <a:graphicData uri="http://schemas.openxmlformats.org/drawingml/2006/picture">
                <pic:pic xmlns:pic="http://schemas.openxmlformats.org/drawingml/2006/picture">
                  <pic:nvPicPr>
                    <pic:cNvPr id="4" name="Espace réservé du contenu 3" descr="pict0.jpg"/>
                    <pic:cNvPicPr>
                      <a:picLocks/>
                    </pic:cNvPicPr>
                  </pic:nvPicPr>
                  <pic:blipFill>
                    <a:blip r:embed="rId24" cstate="print"/>
                    <a:srcRect/>
                    <a:stretch>
                      <a:fillRect/>
                    </a:stretch>
                  </pic:blipFill>
                  <pic:spPr bwMode="auto">
                    <a:xfrm>
                      <a:off x="0" y="0"/>
                      <a:ext cx="4450452" cy="3678532"/>
                    </a:xfrm>
                    <a:prstGeom prst="rect">
                      <a:avLst/>
                    </a:prstGeom>
                    <a:noFill/>
                    <a:ln w="9525">
                      <a:noFill/>
                      <a:miter lim="800000"/>
                      <a:headEnd/>
                      <a:tailEnd/>
                    </a:ln>
                  </pic:spPr>
                </pic:pic>
              </a:graphicData>
            </a:graphic>
          </wp:inline>
        </w:drawing>
      </w:r>
    </w:p>
    <w:p w:rsidR="00656AC8" w:rsidRPr="007D7279" w:rsidRDefault="00656AC8" w:rsidP="000B768D">
      <w:pPr>
        <w:tabs>
          <w:tab w:val="left" w:pos="5235"/>
        </w:tabs>
        <w:jc w:val="center"/>
        <w:rPr>
          <w:u w:val="single"/>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745CB8">
        <w:rPr>
          <w:b/>
          <w:bCs/>
          <w:u w:val="single"/>
        </w:rPr>
        <w:t>7. Type d’une unité d’hydrocraquage en une étape</w:t>
      </w:r>
      <w:r>
        <w:rPr>
          <w:u w:val="single"/>
        </w:rPr>
        <w:t xml:space="preserve"> </w:t>
      </w:r>
      <w:r w:rsidRPr="00C96A2F">
        <w:rPr>
          <w:rFonts w:asciiTheme="majorBidi" w:hAnsiTheme="majorBidi" w:cstheme="majorBidi"/>
        </w:rPr>
        <w:t>[</w:t>
      </w:r>
      <w:r>
        <w:rPr>
          <w:rFonts w:asciiTheme="majorBidi" w:hAnsiTheme="majorBidi" w:cstheme="majorBidi"/>
        </w:rPr>
        <w:t>2,4,6</w:t>
      </w:r>
      <w:r w:rsidRPr="00C96A2F">
        <w:rPr>
          <w:rFonts w:asciiTheme="majorBidi" w:hAnsiTheme="majorBidi" w:cstheme="majorBidi"/>
        </w:rPr>
        <w:t>]</w:t>
      </w:r>
    </w:p>
    <w:p w:rsidR="00656AC8" w:rsidRPr="007D7279" w:rsidRDefault="00656AC8" w:rsidP="000B768D">
      <w:pPr>
        <w:tabs>
          <w:tab w:val="left" w:pos="5235"/>
        </w:tabs>
        <w:jc w:val="center"/>
      </w:pPr>
      <w:r w:rsidRPr="007D7279">
        <w:rPr>
          <w:noProof/>
          <w:lang w:val="en-US" w:eastAsia="en-US"/>
        </w:rPr>
        <w:lastRenderedPageBreak/>
        <w:drawing>
          <wp:inline distT="0" distB="0" distL="0" distR="0">
            <wp:extent cx="5760720" cy="3360522"/>
            <wp:effectExtent l="19050" t="0" r="0" b="0"/>
            <wp:docPr id="9" name="Image 20" descr="pict1.jpg"/>
            <wp:cNvGraphicFramePr/>
            <a:graphic xmlns:a="http://schemas.openxmlformats.org/drawingml/2006/main">
              <a:graphicData uri="http://schemas.openxmlformats.org/drawingml/2006/picture">
                <pic:pic xmlns:pic="http://schemas.openxmlformats.org/drawingml/2006/picture">
                  <pic:nvPicPr>
                    <pic:cNvPr id="4" name="Espace réservé du contenu 3" descr="pict1.jpg"/>
                    <pic:cNvPicPr>
                      <a:picLocks noGrp="1"/>
                    </pic:cNvPicPr>
                  </pic:nvPicPr>
                  <pic:blipFill>
                    <a:blip r:embed="rId25"/>
                    <a:srcRect/>
                    <a:stretch>
                      <a:fillRect/>
                    </a:stretch>
                  </pic:blipFill>
                  <pic:spPr bwMode="auto">
                    <a:xfrm>
                      <a:off x="0" y="0"/>
                      <a:ext cx="5760720" cy="3360522"/>
                    </a:xfrm>
                    <a:prstGeom prst="rect">
                      <a:avLst/>
                    </a:prstGeom>
                    <a:noFill/>
                    <a:ln w="9525">
                      <a:noFill/>
                      <a:miter lim="800000"/>
                      <a:headEnd/>
                      <a:tailEnd/>
                    </a:ln>
                  </pic:spPr>
                </pic:pic>
              </a:graphicData>
            </a:graphic>
          </wp:inline>
        </w:drawing>
      </w:r>
    </w:p>
    <w:p w:rsidR="00656AC8" w:rsidRPr="007D7279" w:rsidRDefault="00656AC8" w:rsidP="000B768D">
      <w:pPr>
        <w:tabs>
          <w:tab w:val="left" w:pos="5235"/>
        </w:tabs>
        <w:jc w:val="center"/>
        <w:rPr>
          <w:u w:val="single"/>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745CB8">
        <w:rPr>
          <w:b/>
          <w:bCs/>
          <w:u w:val="single"/>
        </w:rPr>
        <w:t>8. Unité d’hydrocraquage en deux étapes avec circuit de recyclage commun.</w:t>
      </w:r>
      <w:r>
        <w:rPr>
          <w:u w:val="single"/>
        </w:rPr>
        <w:t xml:space="preserve"> </w:t>
      </w:r>
      <w:r w:rsidRPr="00C96A2F">
        <w:rPr>
          <w:rFonts w:asciiTheme="majorBidi" w:hAnsiTheme="majorBidi" w:cstheme="majorBidi"/>
        </w:rPr>
        <w:t>[</w:t>
      </w:r>
      <w:r>
        <w:rPr>
          <w:rFonts w:asciiTheme="majorBidi" w:hAnsiTheme="majorBidi" w:cstheme="majorBidi"/>
        </w:rPr>
        <w:t>2,4,6</w:t>
      </w:r>
      <w:r w:rsidRPr="00C96A2F">
        <w:rPr>
          <w:rFonts w:asciiTheme="majorBidi" w:hAnsiTheme="majorBidi" w:cstheme="majorBidi"/>
        </w:rPr>
        <w:t>]</w:t>
      </w:r>
    </w:p>
    <w:p w:rsidR="00656AC8" w:rsidRPr="007D7279" w:rsidRDefault="00656AC8" w:rsidP="00F80F9A">
      <w:pPr>
        <w:spacing w:line="360" w:lineRule="auto"/>
        <w:jc w:val="both"/>
        <w:rPr>
          <w:rStyle w:val="longtext1"/>
          <w:rFonts w:asciiTheme="majorBidi" w:hAnsiTheme="majorBidi" w:cstheme="majorBidi"/>
          <w:b/>
          <w:bCs/>
          <w:u w:val="single"/>
        </w:rPr>
      </w:pPr>
    </w:p>
    <w:p w:rsidR="0098240B" w:rsidRDefault="0098240B" w:rsidP="00F80F9A">
      <w:pPr>
        <w:spacing w:line="360" w:lineRule="auto"/>
        <w:jc w:val="both"/>
        <w:rPr>
          <w:rStyle w:val="longtext1"/>
          <w:rFonts w:asciiTheme="majorBidi" w:hAnsiTheme="majorBidi" w:cstheme="majorBidi"/>
          <w:b/>
          <w:bCs/>
          <w:sz w:val="24"/>
          <w:szCs w:val="24"/>
          <w:u w:val="single"/>
        </w:rPr>
      </w:pPr>
    </w:p>
    <w:p w:rsidR="0098240B" w:rsidRDefault="0098240B" w:rsidP="00F80F9A">
      <w:pPr>
        <w:spacing w:line="360" w:lineRule="auto"/>
        <w:jc w:val="both"/>
        <w:rPr>
          <w:rStyle w:val="longtext1"/>
          <w:rFonts w:asciiTheme="majorBidi" w:hAnsiTheme="majorBidi" w:cstheme="majorBidi"/>
          <w:b/>
          <w:bCs/>
          <w:sz w:val="24"/>
          <w:szCs w:val="24"/>
          <w:u w:val="single"/>
        </w:rPr>
      </w:pPr>
    </w:p>
    <w:p w:rsidR="00656AC8" w:rsidRPr="00F531EB" w:rsidRDefault="00656AC8" w:rsidP="00F80F9A">
      <w:pPr>
        <w:spacing w:line="360" w:lineRule="auto"/>
        <w:jc w:val="both"/>
        <w:rPr>
          <w:rStyle w:val="longtext1"/>
          <w:rFonts w:asciiTheme="majorBidi" w:hAnsiTheme="majorBidi" w:cstheme="majorBidi"/>
          <w:b/>
          <w:bCs/>
          <w:sz w:val="24"/>
          <w:szCs w:val="24"/>
          <w:shd w:val="clear" w:color="auto" w:fill="FFFFFF"/>
        </w:rPr>
      </w:pPr>
      <w:r w:rsidRPr="00F531EB">
        <w:rPr>
          <w:rStyle w:val="longtext1"/>
          <w:rFonts w:asciiTheme="majorBidi" w:hAnsiTheme="majorBidi" w:cstheme="majorBidi"/>
          <w:b/>
          <w:bCs/>
          <w:sz w:val="24"/>
          <w:szCs w:val="24"/>
        </w:rPr>
        <w:t xml:space="preserve">I.5.7. L’oligomérisation des d'oléfines légères </w:t>
      </w:r>
      <w:r w:rsidRPr="00F531EB">
        <w:rPr>
          <w:rStyle w:val="longtext1"/>
          <w:rFonts w:asciiTheme="majorBidi" w:hAnsiTheme="majorBidi" w:cstheme="majorBidi"/>
          <w:b/>
          <w:bCs/>
          <w:sz w:val="24"/>
          <w:szCs w:val="24"/>
          <w:shd w:val="clear" w:color="auto" w:fill="FFFFFF"/>
        </w:rPr>
        <w:t>comme source de carburants Diesel :</w:t>
      </w:r>
    </w:p>
    <w:p w:rsidR="00656AC8" w:rsidRPr="0098240B" w:rsidRDefault="00656AC8" w:rsidP="00F80F9A">
      <w:pPr>
        <w:spacing w:line="360" w:lineRule="auto"/>
        <w:ind w:firstLine="708"/>
        <w:jc w:val="both"/>
        <w:rPr>
          <w:rFonts w:asciiTheme="majorBidi" w:hAnsiTheme="majorBidi" w:cstheme="majorBidi"/>
          <w:shd w:val="clear" w:color="auto" w:fill="FFFFFF"/>
        </w:rPr>
      </w:pPr>
      <w:r w:rsidRPr="0098240B">
        <w:rPr>
          <w:rStyle w:val="longtext1"/>
          <w:rFonts w:asciiTheme="majorBidi" w:hAnsiTheme="majorBidi" w:cstheme="majorBidi"/>
          <w:sz w:val="24"/>
          <w:szCs w:val="24"/>
        </w:rPr>
        <w:t xml:space="preserve">L’oligomérisation des dérivés d'oléfines (Fischer-Tropsch) sur silice-alumine amorphe a été étudiée à l'échelle de 140-265 ° C et 3.5-6.8 MPa. </w:t>
      </w:r>
      <w:r w:rsidRPr="0098240B">
        <w:rPr>
          <w:rStyle w:val="longtext1"/>
          <w:rFonts w:asciiTheme="majorBidi" w:hAnsiTheme="majorBidi" w:cstheme="majorBidi"/>
          <w:sz w:val="24"/>
          <w:szCs w:val="24"/>
          <w:shd w:val="clear" w:color="auto" w:fill="FFFFFF"/>
        </w:rPr>
        <w:t>Le rendement en distillat est thermodynamiquement limité, et des rendements de 65-70% ont été observés pendant une fois par un fonctionnement à 180 °C, 6 MPa et une vitesse spatiale horaire (VVH) du liquide de 0,5 h-1. Le produit gasoil a généralement une masse volumique de 810 kg/m3, une viscosité cinématique de 2.8-3.6 cSt, et de bonnes propriétés d'écoulement à froid, mais un faible indice de cétane (28-30). Malgré la forte propension de transfert d'hydrogène du catalyseur, la longueur des cycles de plus de 100 jours ont été atteints et l'activité du catalyseur pourrait être restaurée par allumage contrôlée du carbone. La désactivation est survenu à un taux de 0,03-0,04 mg / h de carbone par gramme de catalyseur.</w:t>
      </w:r>
      <w:r w:rsidRPr="0098240B">
        <w:rPr>
          <w:rFonts w:asciiTheme="majorBidi" w:hAnsiTheme="majorBidi" w:cstheme="majorBidi"/>
        </w:rPr>
        <w:t xml:space="preserve"> [1,32]</w:t>
      </w:r>
    </w:p>
    <w:p w:rsidR="00656AC8" w:rsidRPr="0098240B" w:rsidRDefault="00656AC8" w:rsidP="00F80F9A">
      <w:pPr>
        <w:spacing w:line="360" w:lineRule="auto"/>
        <w:jc w:val="both"/>
        <w:rPr>
          <w:rStyle w:val="longtext1"/>
          <w:rFonts w:asciiTheme="majorBidi" w:hAnsiTheme="majorBidi" w:cstheme="majorBidi"/>
          <w:sz w:val="24"/>
          <w:szCs w:val="24"/>
        </w:rPr>
      </w:pPr>
      <w:r w:rsidRPr="0098240B">
        <w:rPr>
          <w:rStyle w:val="longtext1"/>
          <w:rFonts w:asciiTheme="majorBidi" w:hAnsiTheme="majorBidi" w:cstheme="majorBidi"/>
          <w:sz w:val="24"/>
          <w:szCs w:val="24"/>
          <w:shd w:val="clear" w:color="auto" w:fill="FFFFFF"/>
        </w:rPr>
        <w:t xml:space="preserve">Le processus de </w:t>
      </w:r>
      <w:r w:rsidRPr="0098240B">
        <w:rPr>
          <w:rStyle w:val="longtext1"/>
          <w:rFonts w:asciiTheme="majorBidi" w:hAnsiTheme="majorBidi" w:cstheme="majorBidi"/>
          <w:sz w:val="24"/>
          <w:szCs w:val="24"/>
        </w:rPr>
        <w:t>L’oligomérisation des dérivés d'oléfines</w:t>
      </w:r>
      <w:r w:rsidRPr="0098240B">
        <w:rPr>
          <w:rStyle w:val="longtext1"/>
          <w:rFonts w:asciiTheme="majorBidi" w:hAnsiTheme="majorBidi" w:cstheme="majorBidi"/>
          <w:sz w:val="24"/>
          <w:szCs w:val="24"/>
          <w:shd w:val="clear" w:color="auto" w:fill="FFFFFF"/>
        </w:rPr>
        <w:t xml:space="preserve"> peut également produire des combustibles dans le gazole même si en raison de leur degré relativement élevé de ramification, ils ont un indice de cétane faible</w:t>
      </w:r>
      <w:r w:rsidRPr="0098240B">
        <w:rPr>
          <w:rStyle w:val="longtext1"/>
          <w:rFonts w:asciiTheme="majorBidi" w:hAnsiTheme="majorBidi" w:cstheme="majorBidi"/>
          <w:sz w:val="24"/>
          <w:szCs w:val="24"/>
        </w:rPr>
        <w:t>, même après hydrogénation.</w:t>
      </w:r>
    </w:p>
    <w:p w:rsidR="00656AC8" w:rsidRDefault="00656AC8" w:rsidP="00F80F9A">
      <w:pPr>
        <w:spacing w:line="360" w:lineRule="auto"/>
        <w:jc w:val="both"/>
        <w:rPr>
          <w:rStyle w:val="longtext1"/>
          <w:rFonts w:asciiTheme="majorBidi" w:hAnsiTheme="majorBidi" w:cstheme="majorBidi"/>
        </w:rPr>
      </w:pPr>
    </w:p>
    <w:p w:rsidR="00656AC8" w:rsidRDefault="00656AC8" w:rsidP="00F80F9A">
      <w:pPr>
        <w:spacing w:line="360" w:lineRule="auto"/>
        <w:jc w:val="both"/>
        <w:rPr>
          <w:rStyle w:val="longtext1"/>
          <w:rFonts w:asciiTheme="majorBidi" w:hAnsiTheme="majorBidi" w:cstheme="majorBidi"/>
        </w:rPr>
      </w:pPr>
    </w:p>
    <w:p w:rsidR="00656AC8" w:rsidRDefault="00656AC8" w:rsidP="00F80F9A">
      <w:pPr>
        <w:spacing w:line="360" w:lineRule="auto"/>
        <w:jc w:val="both"/>
        <w:rPr>
          <w:rStyle w:val="mediumtext1"/>
          <w:rFonts w:asciiTheme="majorBidi" w:hAnsiTheme="majorBidi" w:cstheme="majorBidi"/>
        </w:rPr>
      </w:pPr>
    </w:p>
    <w:p w:rsidR="0098240B" w:rsidRDefault="0098240B" w:rsidP="00F80F9A">
      <w:pPr>
        <w:spacing w:line="360" w:lineRule="auto"/>
        <w:jc w:val="both"/>
        <w:rPr>
          <w:rStyle w:val="mediumtext1"/>
          <w:rFonts w:asciiTheme="majorBidi" w:hAnsiTheme="majorBidi" w:cstheme="majorBidi"/>
        </w:rPr>
      </w:pPr>
    </w:p>
    <w:p w:rsidR="0098240B" w:rsidRPr="004D35C0" w:rsidRDefault="0098240B" w:rsidP="00F80F9A">
      <w:pPr>
        <w:spacing w:line="360" w:lineRule="auto"/>
        <w:jc w:val="both"/>
        <w:rPr>
          <w:rStyle w:val="mediumtext1"/>
          <w:rFonts w:asciiTheme="majorBidi" w:hAnsiTheme="majorBidi" w:cstheme="majorBidi"/>
        </w:rPr>
      </w:pPr>
    </w:p>
    <w:p w:rsidR="00656AC8" w:rsidRPr="00597C48" w:rsidRDefault="00656AC8" w:rsidP="00F80F9A">
      <w:pPr>
        <w:tabs>
          <w:tab w:val="left" w:pos="2775"/>
        </w:tabs>
        <w:spacing w:line="360" w:lineRule="auto"/>
        <w:jc w:val="both"/>
        <w:rPr>
          <w:rFonts w:asciiTheme="majorBidi" w:hAnsiTheme="majorBidi" w:cstheme="majorBidi"/>
        </w:rPr>
      </w:pPr>
      <w:r w:rsidRPr="007D7279">
        <w:rPr>
          <w:rStyle w:val="mediumtext1"/>
          <w:rFonts w:asciiTheme="majorBidi" w:hAnsiTheme="majorBidi" w:cstheme="majorBidi"/>
          <w:shd w:val="clear" w:color="auto" w:fill="FFFFFF"/>
        </w:rPr>
        <w:t xml:space="preserve">Comparaison des produits polymères hydrogénés dans la gamme </w:t>
      </w:r>
      <w:r>
        <w:rPr>
          <w:rStyle w:val="mediumtext1"/>
          <w:rFonts w:asciiTheme="majorBidi" w:hAnsiTheme="majorBidi" w:cstheme="majorBidi"/>
          <w:shd w:val="clear" w:color="auto" w:fill="FFFFFF"/>
        </w:rPr>
        <w:t>D</w:t>
      </w:r>
      <w:r w:rsidRPr="007D7279">
        <w:rPr>
          <w:rStyle w:val="mediumtext1"/>
          <w:rFonts w:asciiTheme="majorBidi" w:hAnsiTheme="majorBidi" w:cstheme="majorBidi"/>
          <w:shd w:val="clear" w:color="auto" w:fill="FFFFFF"/>
        </w:rPr>
        <w:t xml:space="preserve">iesel : </w:t>
      </w:r>
      <w:r w:rsidRPr="00C96A2F">
        <w:rPr>
          <w:rFonts w:asciiTheme="majorBidi" w:hAnsiTheme="majorBidi" w:cstheme="majorBidi"/>
        </w:rPr>
        <w:t>[1</w:t>
      </w:r>
      <w:r>
        <w:rPr>
          <w:rFonts w:asciiTheme="majorBidi" w:hAnsiTheme="majorBidi" w:cstheme="majorBidi"/>
        </w:rPr>
        <w:t>,32</w:t>
      </w:r>
      <w:r w:rsidRPr="00C96A2F">
        <w:rPr>
          <w:rFonts w:asciiTheme="majorBidi" w:hAnsiTheme="majorBidi" w:cstheme="majorBidi"/>
        </w:rPr>
        <w:t>]</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
      <w:tblGrid>
        <w:gridCol w:w="1703"/>
        <w:gridCol w:w="106"/>
        <w:gridCol w:w="1597"/>
        <w:gridCol w:w="1703"/>
        <w:gridCol w:w="1709"/>
        <w:gridCol w:w="1704"/>
      </w:tblGrid>
      <w:tr w:rsidR="00656AC8" w:rsidRPr="007D7279" w:rsidTr="00E6403E">
        <w:trPr>
          <w:jc w:val="center"/>
        </w:trPr>
        <w:tc>
          <w:tcPr>
            <w:tcW w:w="1703" w:type="dxa"/>
            <w:tcBorders>
              <w:top w:val="nil"/>
              <w:left w:val="nil"/>
            </w:tcBorders>
          </w:tcPr>
          <w:p w:rsidR="00656AC8" w:rsidRPr="007D7279" w:rsidRDefault="00656AC8" w:rsidP="00F80F9A">
            <w:pPr>
              <w:tabs>
                <w:tab w:val="left" w:pos="2775"/>
              </w:tabs>
              <w:jc w:val="both"/>
              <w:rPr>
                <w:rFonts w:asciiTheme="majorBidi" w:hAnsiTheme="majorBidi" w:cstheme="majorBidi"/>
                <w:shd w:val="clear" w:color="auto" w:fill="EBEFF9"/>
              </w:rPr>
            </w:pPr>
          </w:p>
        </w:tc>
        <w:tc>
          <w:tcPr>
            <w:tcW w:w="1703" w:type="dxa"/>
            <w:gridSpan w:val="2"/>
          </w:tcPr>
          <w:p w:rsidR="00656AC8" w:rsidRPr="007D7279" w:rsidRDefault="00656AC8" w:rsidP="00F80F9A">
            <w:pPr>
              <w:shd w:val="clear" w:color="auto" w:fill="FFFFFF" w:themeFill="background1"/>
              <w:tabs>
                <w:tab w:val="left" w:pos="2775"/>
              </w:tabs>
              <w:jc w:val="both"/>
              <w:rPr>
                <w:rStyle w:val="mediumtext1"/>
                <w:rFonts w:asciiTheme="majorBidi" w:hAnsiTheme="majorBidi" w:cstheme="majorBidi"/>
                <w:sz w:val="22"/>
                <w:szCs w:val="22"/>
                <w:shd w:val="clear" w:color="auto" w:fill="FFFFFF"/>
              </w:rPr>
            </w:pPr>
            <w:r w:rsidRPr="007D7279">
              <w:rPr>
                <w:rStyle w:val="mediumtext1"/>
                <w:rFonts w:asciiTheme="majorBidi" w:hAnsiTheme="majorBidi" w:cstheme="majorBidi"/>
                <w:sz w:val="22"/>
                <w:szCs w:val="22"/>
                <w:shd w:val="clear" w:color="auto" w:fill="FFFFFF"/>
              </w:rPr>
              <w:t>Tétramère de propylène</w:t>
            </w:r>
          </w:p>
          <w:p w:rsidR="00656AC8" w:rsidRPr="007D7279" w:rsidRDefault="00656AC8" w:rsidP="00F80F9A">
            <w:pPr>
              <w:tabs>
                <w:tab w:val="left" w:pos="2775"/>
              </w:tabs>
              <w:jc w:val="both"/>
              <w:rPr>
                <w:rFonts w:asciiTheme="majorBidi" w:hAnsiTheme="majorBidi" w:cstheme="majorBidi"/>
                <w:shd w:val="clear" w:color="auto" w:fill="EBEFF9"/>
              </w:rPr>
            </w:pPr>
          </w:p>
        </w:tc>
        <w:tc>
          <w:tcPr>
            <w:tcW w:w="1703" w:type="dxa"/>
          </w:tcPr>
          <w:p w:rsidR="00656AC8" w:rsidRPr="007D7279" w:rsidRDefault="00656AC8" w:rsidP="00F80F9A">
            <w:pPr>
              <w:tabs>
                <w:tab w:val="left" w:pos="2775"/>
              </w:tabs>
              <w:jc w:val="both"/>
              <w:rPr>
                <w:rStyle w:val="mediumtext1"/>
                <w:rFonts w:asciiTheme="majorBidi" w:hAnsiTheme="majorBidi" w:cstheme="majorBidi"/>
                <w:sz w:val="22"/>
                <w:szCs w:val="22"/>
              </w:rPr>
            </w:pPr>
            <w:r w:rsidRPr="007D7279">
              <w:rPr>
                <w:rStyle w:val="mediumtext1"/>
                <w:rFonts w:asciiTheme="majorBidi" w:hAnsiTheme="majorBidi" w:cstheme="majorBidi"/>
                <w:sz w:val="22"/>
                <w:szCs w:val="22"/>
                <w:shd w:val="clear" w:color="auto" w:fill="FFFFFF"/>
              </w:rPr>
              <w:t>Polymère propylène lourd</w:t>
            </w:r>
          </w:p>
          <w:p w:rsidR="00656AC8" w:rsidRPr="007D7279" w:rsidRDefault="00656AC8" w:rsidP="00F80F9A">
            <w:pPr>
              <w:tabs>
                <w:tab w:val="left" w:pos="2775"/>
              </w:tabs>
              <w:jc w:val="both"/>
              <w:rPr>
                <w:rFonts w:asciiTheme="majorBidi" w:hAnsiTheme="majorBidi" w:cstheme="majorBidi"/>
                <w:shd w:val="clear" w:color="auto" w:fill="EBEFF9"/>
              </w:rPr>
            </w:pPr>
          </w:p>
        </w:tc>
        <w:tc>
          <w:tcPr>
            <w:tcW w:w="1709" w:type="dxa"/>
          </w:tcPr>
          <w:p w:rsidR="00656AC8" w:rsidRPr="007D7279" w:rsidRDefault="00656AC8" w:rsidP="00F80F9A">
            <w:pPr>
              <w:tabs>
                <w:tab w:val="left" w:pos="2775"/>
              </w:tabs>
              <w:jc w:val="both"/>
              <w:rPr>
                <w:rFonts w:asciiTheme="majorBidi" w:hAnsiTheme="majorBidi" w:cstheme="majorBidi"/>
                <w:shd w:val="clear" w:color="auto" w:fill="EBEFF9"/>
              </w:rPr>
            </w:pPr>
            <w:r w:rsidRPr="007D7279">
              <w:rPr>
                <w:rStyle w:val="mediumtext1"/>
                <w:rFonts w:asciiTheme="majorBidi" w:hAnsiTheme="majorBidi" w:cstheme="majorBidi"/>
                <w:sz w:val="22"/>
                <w:szCs w:val="22"/>
                <w:shd w:val="clear" w:color="auto" w:fill="FFFFFF"/>
              </w:rPr>
              <w:t>Tétramère plus lourd</w:t>
            </w:r>
          </w:p>
        </w:tc>
        <w:tc>
          <w:tcPr>
            <w:tcW w:w="1704" w:type="dxa"/>
          </w:tcPr>
          <w:p w:rsidR="00656AC8" w:rsidRPr="007D7279" w:rsidRDefault="00656AC8" w:rsidP="00F80F9A">
            <w:pPr>
              <w:tabs>
                <w:tab w:val="left" w:pos="2775"/>
              </w:tabs>
              <w:jc w:val="both"/>
              <w:rPr>
                <w:rFonts w:asciiTheme="majorBidi" w:hAnsiTheme="majorBidi" w:cstheme="majorBidi"/>
              </w:rPr>
            </w:pPr>
            <w:r w:rsidRPr="007D7279">
              <w:rPr>
                <w:rStyle w:val="mediumtext1"/>
                <w:rFonts w:asciiTheme="majorBidi" w:hAnsiTheme="majorBidi" w:cstheme="majorBidi"/>
                <w:sz w:val="22"/>
                <w:szCs w:val="22"/>
                <w:shd w:val="clear" w:color="auto" w:fill="FFFFFF"/>
              </w:rPr>
              <w:t>Polymères lourds  de l'essence C3/C4</w:t>
            </w:r>
          </w:p>
        </w:tc>
      </w:tr>
      <w:tr w:rsidR="00656AC8" w:rsidRPr="007D7279" w:rsidTr="00E6403E">
        <w:trPr>
          <w:jc w:val="center"/>
        </w:trPr>
        <w:tc>
          <w:tcPr>
            <w:tcW w:w="1703" w:type="dxa"/>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 xml:space="preserve">API gravity    </w:t>
            </w:r>
          </w:p>
        </w:tc>
        <w:tc>
          <w:tcPr>
            <w:tcW w:w="1703" w:type="dxa"/>
            <w:gridSpan w:val="2"/>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54.2</w:t>
            </w:r>
          </w:p>
        </w:tc>
        <w:tc>
          <w:tcPr>
            <w:tcW w:w="1703" w:type="dxa"/>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44.4</w:t>
            </w:r>
          </w:p>
        </w:tc>
        <w:tc>
          <w:tcPr>
            <w:tcW w:w="1709" w:type="dxa"/>
            <w:tcBorders>
              <w:bottom w:val="single" w:sz="4" w:space="0" w:color="auto"/>
            </w:tcBorders>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51.8</w:t>
            </w:r>
          </w:p>
        </w:tc>
        <w:tc>
          <w:tcPr>
            <w:tcW w:w="1704" w:type="dxa"/>
            <w:tcBorders>
              <w:bottom w:val="single" w:sz="4" w:space="0" w:color="auto"/>
            </w:tcBorders>
          </w:tcPr>
          <w:p w:rsidR="00656AC8" w:rsidRPr="007D7279" w:rsidRDefault="00656AC8" w:rsidP="00F80F9A">
            <w:pPr>
              <w:jc w:val="both"/>
              <w:rPr>
                <w:rFonts w:asciiTheme="majorBidi" w:hAnsiTheme="majorBidi" w:cstheme="majorBidi"/>
              </w:rPr>
            </w:pPr>
            <w:r w:rsidRPr="007D7279">
              <w:rPr>
                <w:rFonts w:asciiTheme="majorBidi" w:hAnsiTheme="majorBidi" w:cstheme="majorBidi"/>
              </w:rPr>
              <w:t>49.3</w:t>
            </w:r>
          </w:p>
        </w:tc>
      </w:tr>
      <w:tr w:rsidR="00656AC8" w:rsidRPr="007D7279" w:rsidTr="00E6403E">
        <w:trPr>
          <w:jc w:val="center"/>
        </w:trPr>
        <w:tc>
          <w:tcPr>
            <w:tcW w:w="8522" w:type="dxa"/>
            <w:gridSpan w:val="6"/>
            <w:tcBorders>
              <w:top w:val="nil"/>
              <w:bottom w:val="single" w:sz="4" w:space="0" w:color="auto"/>
            </w:tcBorders>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Engler distillation (°C)</w:t>
            </w:r>
          </w:p>
        </w:tc>
      </w:tr>
      <w:tr w:rsidR="00656AC8" w:rsidRPr="007D7279" w:rsidTr="00E6403E">
        <w:trPr>
          <w:jc w:val="center"/>
        </w:trPr>
        <w:tc>
          <w:tcPr>
            <w:tcW w:w="1809" w:type="dxa"/>
            <w:gridSpan w:val="2"/>
            <w:vMerge w:val="restart"/>
            <w:tcBorders>
              <w:top w:val="single" w:sz="4" w:space="0" w:color="auto"/>
            </w:tcBorders>
            <w:shd w:val="clear" w:color="auto" w:fill="FFFFFF" w:themeFill="background1"/>
          </w:tcPr>
          <w:p w:rsidR="00656AC8" w:rsidRPr="007D7279" w:rsidRDefault="00656AC8" w:rsidP="00F80F9A">
            <w:pPr>
              <w:jc w:val="both"/>
              <w:rPr>
                <w:rFonts w:asciiTheme="majorBidi" w:hAnsiTheme="majorBidi" w:cstheme="majorBidi"/>
              </w:rPr>
            </w:pPr>
            <w:r w:rsidRPr="007D7279">
              <w:rPr>
                <w:rFonts w:asciiTheme="majorBidi" w:hAnsiTheme="majorBidi" w:cstheme="majorBidi"/>
              </w:rPr>
              <w:t>10       </w:t>
            </w:r>
          </w:p>
          <w:p w:rsidR="00656AC8" w:rsidRPr="007D7279" w:rsidRDefault="00656AC8" w:rsidP="00F80F9A">
            <w:pPr>
              <w:jc w:val="both"/>
              <w:rPr>
                <w:rFonts w:asciiTheme="majorBidi" w:hAnsiTheme="majorBidi" w:cstheme="majorBidi"/>
              </w:rPr>
            </w:pPr>
            <w:r w:rsidRPr="007D7279">
              <w:rPr>
                <w:rFonts w:asciiTheme="majorBidi" w:hAnsiTheme="majorBidi" w:cstheme="majorBidi"/>
              </w:rPr>
              <w:t xml:space="preserve">30            </w:t>
            </w:r>
          </w:p>
          <w:p w:rsidR="00656AC8" w:rsidRPr="007D7279" w:rsidRDefault="00656AC8" w:rsidP="00F80F9A">
            <w:pPr>
              <w:jc w:val="both"/>
              <w:rPr>
                <w:rFonts w:asciiTheme="majorBidi" w:hAnsiTheme="majorBidi" w:cstheme="majorBidi"/>
              </w:rPr>
            </w:pPr>
            <w:r w:rsidRPr="007D7279">
              <w:rPr>
                <w:rFonts w:asciiTheme="majorBidi" w:hAnsiTheme="majorBidi" w:cstheme="majorBidi"/>
              </w:rPr>
              <w:t xml:space="preserve">50                 </w:t>
            </w:r>
          </w:p>
          <w:p w:rsidR="00656AC8" w:rsidRPr="007D7279" w:rsidRDefault="00656AC8" w:rsidP="00F80F9A">
            <w:pPr>
              <w:jc w:val="both"/>
              <w:rPr>
                <w:rFonts w:asciiTheme="majorBidi" w:hAnsiTheme="majorBidi" w:cstheme="majorBidi"/>
              </w:rPr>
            </w:pPr>
            <w:r w:rsidRPr="007D7279">
              <w:rPr>
                <w:rFonts w:asciiTheme="majorBidi" w:hAnsiTheme="majorBidi" w:cstheme="majorBidi"/>
              </w:rPr>
              <w:t xml:space="preserve">70              </w:t>
            </w:r>
          </w:p>
          <w:p w:rsidR="00656AC8" w:rsidRPr="007D7279" w:rsidRDefault="00656AC8" w:rsidP="00F80F9A">
            <w:pPr>
              <w:jc w:val="both"/>
              <w:rPr>
                <w:rFonts w:asciiTheme="majorBidi" w:hAnsiTheme="majorBidi" w:cstheme="majorBidi"/>
              </w:rPr>
            </w:pPr>
            <w:r w:rsidRPr="007D7279">
              <w:rPr>
                <w:rFonts w:asciiTheme="majorBidi" w:hAnsiTheme="majorBidi" w:cstheme="majorBidi"/>
              </w:rPr>
              <w:t xml:space="preserve">90                 </w:t>
            </w:r>
          </w:p>
          <w:p w:rsidR="00656AC8" w:rsidRPr="007D7279" w:rsidRDefault="00656AC8" w:rsidP="00F80F9A">
            <w:pPr>
              <w:jc w:val="both"/>
              <w:rPr>
                <w:rFonts w:asciiTheme="majorBidi" w:hAnsiTheme="majorBidi" w:cstheme="majorBidi"/>
              </w:rPr>
            </w:pPr>
            <w:r w:rsidRPr="007D7279">
              <w:rPr>
                <w:rFonts w:asciiTheme="majorBidi" w:hAnsiTheme="majorBidi" w:cstheme="majorBidi"/>
              </w:rPr>
              <w:t xml:space="preserve">PF                   </w:t>
            </w:r>
          </w:p>
        </w:tc>
        <w:tc>
          <w:tcPr>
            <w:tcW w:w="1597" w:type="dxa"/>
            <w:vMerge w:val="restart"/>
            <w:tcBorders>
              <w:top w:val="single" w:sz="4" w:space="0" w:color="auto"/>
            </w:tcBorders>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184</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187</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189</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193</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198</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213</w:t>
            </w:r>
          </w:p>
        </w:tc>
        <w:tc>
          <w:tcPr>
            <w:tcW w:w="1703" w:type="dxa"/>
            <w:vMerge w:val="restart"/>
            <w:tcBorders>
              <w:top w:val="single" w:sz="4" w:space="0" w:color="auto"/>
            </w:tcBorders>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262</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266</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271</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279</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300</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329</w:t>
            </w:r>
          </w:p>
        </w:tc>
        <w:tc>
          <w:tcPr>
            <w:tcW w:w="1709" w:type="dxa"/>
            <w:tcBorders>
              <w:top w:val="single" w:sz="4" w:space="0" w:color="auto"/>
              <w:bottom w:val="nil"/>
              <w:right w:val="single" w:sz="4" w:space="0" w:color="auto"/>
            </w:tcBorders>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 xml:space="preserve">          188</w:t>
            </w:r>
          </w:p>
        </w:tc>
        <w:tc>
          <w:tcPr>
            <w:tcW w:w="1704" w:type="dxa"/>
            <w:tcBorders>
              <w:top w:val="single" w:sz="4" w:space="0" w:color="auto"/>
              <w:bottom w:val="nil"/>
              <w:right w:val="single" w:sz="4" w:space="0" w:color="auto"/>
            </w:tcBorders>
          </w:tcPr>
          <w:p w:rsidR="00656AC8" w:rsidRPr="007D7279" w:rsidRDefault="00656AC8" w:rsidP="00F80F9A">
            <w:pPr>
              <w:tabs>
                <w:tab w:val="left" w:pos="2775"/>
              </w:tabs>
              <w:ind w:left="552"/>
              <w:jc w:val="both"/>
              <w:rPr>
                <w:rFonts w:ascii="Arial" w:hAnsi="Arial"/>
                <w:shd w:val="clear" w:color="auto" w:fill="EBEFF9"/>
              </w:rPr>
            </w:pPr>
            <w:r w:rsidRPr="007D7279">
              <w:rPr>
                <w:rFonts w:asciiTheme="majorBidi" w:hAnsiTheme="majorBidi" w:cstheme="majorBidi"/>
              </w:rPr>
              <w:t>154</w:t>
            </w:r>
          </w:p>
        </w:tc>
      </w:tr>
      <w:tr w:rsidR="00656AC8" w:rsidRPr="007D7279" w:rsidTr="00E6403E">
        <w:trPr>
          <w:trHeight w:val="1410"/>
          <w:jc w:val="center"/>
        </w:trPr>
        <w:tc>
          <w:tcPr>
            <w:tcW w:w="1809" w:type="dxa"/>
            <w:gridSpan w:val="2"/>
            <w:vMerge/>
            <w:tcBorders>
              <w:top w:val="nil"/>
              <w:bottom w:val="single" w:sz="4" w:space="0" w:color="000000" w:themeColor="text1"/>
            </w:tcBorders>
          </w:tcPr>
          <w:p w:rsidR="00656AC8" w:rsidRPr="007D7279" w:rsidRDefault="00656AC8" w:rsidP="00F80F9A">
            <w:pPr>
              <w:jc w:val="both"/>
              <w:rPr>
                <w:rFonts w:ascii="Arial" w:hAnsi="Arial"/>
                <w:shd w:val="clear" w:color="auto" w:fill="EBEFF9"/>
              </w:rPr>
            </w:pPr>
          </w:p>
        </w:tc>
        <w:tc>
          <w:tcPr>
            <w:tcW w:w="1597" w:type="dxa"/>
            <w:vMerge/>
            <w:tcBorders>
              <w:top w:val="nil"/>
              <w:bottom w:val="single" w:sz="4" w:space="0" w:color="000000" w:themeColor="text1"/>
            </w:tcBorders>
          </w:tcPr>
          <w:p w:rsidR="00656AC8" w:rsidRPr="007D7279" w:rsidRDefault="00656AC8" w:rsidP="00F80F9A">
            <w:pPr>
              <w:tabs>
                <w:tab w:val="left" w:pos="2775"/>
              </w:tabs>
              <w:jc w:val="both"/>
              <w:rPr>
                <w:rFonts w:ascii="Arial" w:hAnsi="Arial"/>
                <w:shd w:val="clear" w:color="auto" w:fill="EBEFF9"/>
              </w:rPr>
            </w:pPr>
          </w:p>
        </w:tc>
        <w:tc>
          <w:tcPr>
            <w:tcW w:w="1703" w:type="dxa"/>
            <w:vMerge/>
            <w:tcBorders>
              <w:top w:val="nil"/>
              <w:bottom w:val="single" w:sz="4" w:space="0" w:color="000000" w:themeColor="text1"/>
            </w:tcBorders>
          </w:tcPr>
          <w:p w:rsidR="00656AC8" w:rsidRPr="007D7279" w:rsidRDefault="00656AC8" w:rsidP="00F80F9A">
            <w:pPr>
              <w:tabs>
                <w:tab w:val="left" w:pos="2775"/>
              </w:tabs>
              <w:jc w:val="both"/>
              <w:rPr>
                <w:rFonts w:ascii="Arial" w:hAnsi="Arial"/>
                <w:shd w:val="clear" w:color="auto" w:fill="EBEFF9"/>
              </w:rPr>
            </w:pPr>
          </w:p>
        </w:tc>
        <w:tc>
          <w:tcPr>
            <w:tcW w:w="1709" w:type="dxa"/>
            <w:tcBorders>
              <w:top w:val="nil"/>
              <w:bottom w:val="single" w:sz="4" w:space="0" w:color="000000" w:themeColor="text1"/>
              <w:right w:val="single" w:sz="4" w:space="0" w:color="auto"/>
            </w:tcBorders>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192</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198</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208</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238</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277</w:t>
            </w:r>
          </w:p>
        </w:tc>
        <w:tc>
          <w:tcPr>
            <w:tcW w:w="1704" w:type="dxa"/>
            <w:tcBorders>
              <w:top w:val="nil"/>
              <w:left w:val="single" w:sz="4" w:space="0" w:color="auto"/>
              <w:bottom w:val="single" w:sz="4" w:space="0" w:color="000000" w:themeColor="text1"/>
            </w:tcBorders>
          </w:tcPr>
          <w:p w:rsidR="00656AC8" w:rsidRPr="007D7279" w:rsidRDefault="00656AC8" w:rsidP="00F80F9A">
            <w:pPr>
              <w:jc w:val="both"/>
              <w:rPr>
                <w:rFonts w:asciiTheme="majorBidi" w:hAnsiTheme="majorBidi" w:cstheme="majorBidi"/>
              </w:rPr>
            </w:pPr>
            <w:r w:rsidRPr="007D7279">
              <w:rPr>
                <w:rFonts w:asciiTheme="majorBidi" w:hAnsiTheme="majorBidi" w:cstheme="majorBidi"/>
              </w:rPr>
              <w:t>206</w:t>
            </w:r>
          </w:p>
          <w:p w:rsidR="00656AC8" w:rsidRPr="007D7279" w:rsidRDefault="00656AC8" w:rsidP="00F80F9A">
            <w:pPr>
              <w:jc w:val="both"/>
              <w:rPr>
                <w:rFonts w:asciiTheme="majorBidi" w:hAnsiTheme="majorBidi" w:cstheme="majorBidi"/>
              </w:rPr>
            </w:pPr>
            <w:r w:rsidRPr="007D7279">
              <w:rPr>
                <w:rFonts w:asciiTheme="majorBidi" w:hAnsiTheme="majorBidi" w:cstheme="majorBidi"/>
              </w:rPr>
              <w:t>215</w:t>
            </w:r>
          </w:p>
          <w:p w:rsidR="00656AC8" w:rsidRPr="007D7279" w:rsidRDefault="00656AC8" w:rsidP="00F80F9A">
            <w:pPr>
              <w:jc w:val="both"/>
              <w:rPr>
                <w:rFonts w:asciiTheme="majorBidi" w:hAnsiTheme="majorBidi" w:cstheme="majorBidi"/>
              </w:rPr>
            </w:pPr>
            <w:r w:rsidRPr="007D7279">
              <w:rPr>
                <w:rFonts w:asciiTheme="majorBidi" w:hAnsiTheme="majorBidi" w:cstheme="majorBidi"/>
              </w:rPr>
              <w:t>229</w:t>
            </w:r>
          </w:p>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271</w:t>
            </w:r>
          </w:p>
          <w:p w:rsidR="00656AC8" w:rsidRPr="007D7279" w:rsidRDefault="00656AC8" w:rsidP="00F80F9A">
            <w:pPr>
              <w:tabs>
                <w:tab w:val="left" w:pos="2775"/>
              </w:tabs>
              <w:jc w:val="both"/>
              <w:rPr>
                <w:rFonts w:asciiTheme="majorBidi" w:hAnsiTheme="majorBidi" w:cstheme="majorBidi"/>
              </w:rPr>
            </w:pPr>
            <w:r w:rsidRPr="007D7279">
              <w:rPr>
                <w:rFonts w:asciiTheme="majorBidi" w:hAnsiTheme="majorBidi" w:cstheme="majorBidi"/>
              </w:rPr>
              <w:t>304</w:t>
            </w:r>
          </w:p>
        </w:tc>
      </w:tr>
      <w:tr w:rsidR="00656AC8" w:rsidRPr="007D7279" w:rsidTr="00E6403E">
        <w:trPr>
          <w:jc w:val="center"/>
        </w:trPr>
        <w:tc>
          <w:tcPr>
            <w:tcW w:w="1809" w:type="dxa"/>
            <w:gridSpan w:val="2"/>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 xml:space="preserve">Indice de cétane     </w:t>
            </w:r>
          </w:p>
        </w:tc>
        <w:tc>
          <w:tcPr>
            <w:tcW w:w="1597" w:type="dxa"/>
          </w:tcPr>
          <w:p w:rsidR="00656AC8" w:rsidRPr="007D7279" w:rsidRDefault="00656AC8" w:rsidP="00F80F9A">
            <w:pPr>
              <w:jc w:val="both"/>
              <w:rPr>
                <w:rFonts w:asciiTheme="majorBidi" w:hAnsiTheme="majorBidi" w:cstheme="majorBidi"/>
              </w:rPr>
            </w:pPr>
            <w:r w:rsidRPr="007D7279">
              <w:rPr>
                <w:rFonts w:asciiTheme="majorBidi" w:hAnsiTheme="majorBidi" w:cstheme="majorBidi"/>
              </w:rPr>
              <w:t>32.8</w:t>
            </w:r>
          </w:p>
        </w:tc>
        <w:tc>
          <w:tcPr>
            <w:tcW w:w="1703" w:type="dxa"/>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37.0</w:t>
            </w:r>
          </w:p>
        </w:tc>
        <w:tc>
          <w:tcPr>
            <w:tcW w:w="1709" w:type="dxa"/>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36.9</w:t>
            </w:r>
          </w:p>
        </w:tc>
        <w:tc>
          <w:tcPr>
            <w:tcW w:w="1704" w:type="dxa"/>
          </w:tcPr>
          <w:p w:rsidR="00656AC8" w:rsidRPr="007D7279" w:rsidRDefault="00656AC8" w:rsidP="00F80F9A">
            <w:pPr>
              <w:tabs>
                <w:tab w:val="left" w:pos="2775"/>
              </w:tabs>
              <w:jc w:val="both"/>
              <w:rPr>
                <w:rFonts w:ascii="Arial" w:hAnsi="Arial"/>
                <w:shd w:val="clear" w:color="auto" w:fill="EBEFF9"/>
              </w:rPr>
            </w:pPr>
            <w:r w:rsidRPr="007D7279">
              <w:rPr>
                <w:rFonts w:asciiTheme="majorBidi" w:hAnsiTheme="majorBidi" w:cstheme="majorBidi"/>
              </w:rPr>
              <w:t>28.7</w:t>
            </w:r>
          </w:p>
        </w:tc>
      </w:tr>
    </w:tbl>
    <w:p w:rsidR="00656AC8" w:rsidRPr="00745CB8" w:rsidRDefault="00656AC8" w:rsidP="000B768D">
      <w:pPr>
        <w:tabs>
          <w:tab w:val="left" w:pos="3690"/>
        </w:tabs>
        <w:spacing w:line="360" w:lineRule="auto"/>
        <w:jc w:val="center"/>
      </w:pPr>
      <w:r w:rsidRPr="00745CB8">
        <w:rPr>
          <w:b/>
          <w:bCs/>
          <w:u w:val="single"/>
        </w:rPr>
        <w:t>Tableau.</w:t>
      </w:r>
      <w:r>
        <w:rPr>
          <w:b/>
          <w:bCs/>
          <w:u w:val="single"/>
        </w:rPr>
        <w:t>I.</w:t>
      </w:r>
      <w:r w:rsidRPr="00745CB8">
        <w:rPr>
          <w:b/>
          <w:bCs/>
          <w:u w:val="single"/>
        </w:rPr>
        <w:t xml:space="preserve">4. </w:t>
      </w:r>
      <w:r w:rsidRPr="00745CB8">
        <w:rPr>
          <w:rStyle w:val="mediumtext1"/>
          <w:rFonts w:asciiTheme="majorBidi" w:hAnsiTheme="majorBidi" w:cstheme="majorBidi"/>
          <w:b/>
          <w:bCs/>
          <w:u w:val="single"/>
          <w:shd w:val="clear" w:color="auto" w:fill="FFFFFF"/>
        </w:rPr>
        <w:t>Comparaison des produits polymères hydrogénés dans la gamme Diesel</w:t>
      </w:r>
      <w:r>
        <w:rPr>
          <w:rStyle w:val="mediumtext1"/>
          <w:rFonts w:asciiTheme="majorBidi" w:hAnsiTheme="majorBidi" w:cstheme="majorBidi"/>
          <w:b/>
          <w:bCs/>
          <w:u w:val="single"/>
          <w:shd w:val="clear" w:color="auto" w:fill="FFFFFF"/>
        </w:rPr>
        <w:t xml:space="preserve"> </w:t>
      </w:r>
      <w:r w:rsidRPr="00C96A2F">
        <w:rPr>
          <w:rFonts w:asciiTheme="majorBidi" w:hAnsiTheme="majorBidi" w:cstheme="majorBidi"/>
        </w:rPr>
        <w:t>[</w:t>
      </w:r>
      <w:r>
        <w:rPr>
          <w:rFonts w:asciiTheme="majorBidi" w:hAnsiTheme="majorBidi" w:cstheme="majorBidi"/>
        </w:rPr>
        <w:t>1,32</w:t>
      </w:r>
      <w:r w:rsidRPr="00C96A2F">
        <w:rPr>
          <w:rFonts w:asciiTheme="majorBidi" w:hAnsiTheme="majorBidi" w:cstheme="majorBidi"/>
        </w:rPr>
        <w:t>]</w:t>
      </w:r>
    </w:p>
    <w:p w:rsidR="00656AC8" w:rsidRPr="00F531EB" w:rsidRDefault="00656AC8" w:rsidP="00F80F9A">
      <w:pPr>
        <w:spacing w:line="360" w:lineRule="auto"/>
        <w:jc w:val="both"/>
        <w:rPr>
          <w:rFonts w:asciiTheme="majorBidi" w:hAnsiTheme="majorBidi" w:cstheme="majorBidi"/>
          <w:b/>
          <w:bCs/>
          <w:sz w:val="28"/>
          <w:szCs w:val="28"/>
        </w:rPr>
      </w:pPr>
      <w:r w:rsidRPr="00F531EB">
        <w:rPr>
          <w:rFonts w:asciiTheme="majorBidi" w:hAnsiTheme="majorBidi" w:cstheme="majorBidi"/>
          <w:b/>
          <w:bCs/>
          <w:sz w:val="28"/>
          <w:szCs w:val="28"/>
        </w:rPr>
        <w:t>I.6. Caractéristiques des différentes bases de raffinage utilisées pour la formulation du gasoil :</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Comme nous l’avons indiqué précédemment, l’obtention simultanée de bonnes caractéristiques à froid et d’un indice de cétane suffisant, constitue le principal objectif du raffineur, lors de la formulation du gazole. A cela s’ajoute la nécessité d’une désulfuration profonde, et peut- être à l’avenir, des contraintes liées à la nature chimique des constituants (aromatique</w:t>
      </w:r>
      <w:r>
        <w:rPr>
          <w:rFonts w:asciiTheme="majorBidi" w:hAnsiTheme="majorBidi" w:cstheme="majorBidi"/>
        </w:rPr>
        <w:t>s</w:t>
      </w:r>
      <w:r w:rsidRPr="007D7279">
        <w:rPr>
          <w:rFonts w:asciiTheme="majorBidi" w:hAnsiTheme="majorBidi" w:cstheme="majorBidi"/>
        </w:rPr>
        <w:t>).</w:t>
      </w:r>
    </w:p>
    <w:p w:rsidR="00656AC8" w:rsidRPr="007D7279" w:rsidRDefault="00656AC8" w:rsidP="007B2A98">
      <w:pPr>
        <w:spacing w:line="360" w:lineRule="auto"/>
        <w:jc w:val="both"/>
        <w:rPr>
          <w:rFonts w:asciiTheme="majorBidi" w:hAnsiTheme="majorBidi" w:cstheme="majorBidi"/>
        </w:rPr>
      </w:pPr>
      <w:r>
        <w:rPr>
          <w:rFonts w:asciiTheme="majorBidi" w:hAnsiTheme="majorBidi" w:cstheme="majorBidi"/>
        </w:rPr>
        <w:t>Le Tableau.</w:t>
      </w:r>
      <w:r w:rsidR="007B2A98">
        <w:rPr>
          <w:rFonts w:asciiTheme="majorBidi" w:hAnsiTheme="majorBidi" w:cstheme="majorBidi"/>
        </w:rPr>
        <w:t>I.5</w:t>
      </w:r>
      <w:r>
        <w:rPr>
          <w:rFonts w:asciiTheme="majorBidi" w:hAnsiTheme="majorBidi" w:cstheme="majorBidi"/>
        </w:rPr>
        <w:t>.</w:t>
      </w:r>
      <w:r w:rsidRPr="007D7279">
        <w:rPr>
          <w:rFonts w:asciiTheme="majorBidi" w:hAnsiTheme="majorBidi" w:cstheme="majorBidi"/>
        </w:rPr>
        <w:t xml:space="preserve"> </w:t>
      </w:r>
      <w:r>
        <w:rPr>
          <w:rFonts w:asciiTheme="majorBidi" w:hAnsiTheme="majorBidi" w:cstheme="majorBidi"/>
        </w:rPr>
        <w:t>m</w:t>
      </w:r>
      <w:r w:rsidRPr="007D7279">
        <w:rPr>
          <w:rFonts w:asciiTheme="majorBidi" w:hAnsiTheme="majorBidi" w:cstheme="majorBidi"/>
        </w:rPr>
        <w:t>ontre quelques caractéristiques physico- chimiques des principaux effluents de raffinerie susceptibles d’intervenir dans les constituants du pool gazole. On a également indiqué le rendement massique correspondant à chaque base, c'est-à-dire la quantité de produit obtenue par rapport à la charge.</w:t>
      </w:r>
      <w:r w:rsidRPr="00745CB8">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14</w:t>
      </w:r>
      <w:r w:rsidRPr="00C96A2F">
        <w:rPr>
          <w:rFonts w:asciiTheme="majorBidi" w:hAnsiTheme="majorBidi" w:cstheme="majorBidi"/>
        </w:rPr>
        <w:t>]</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Les propriétés des gazoles de distillation directe (straight run) dépendant à la fois de la nature du pétrole brut et de l’intervalle de distillation choisi. Ainsi, les bruts paraffiniques fournissent des coupes d’indice de cétane satisfaisant mais de caractéristiques à froid médiocres ; l’inverse sera observé  avec des bruts naphténiques ou aromatiques. La demande croissante en gazole pourrait inciter le raffineur à augmenter le point final de distillation, mais il en résulterait une détérioration du point de trouble. Ainsi, on admet généralement qu’un gain de rendement sur brut de 0,5 % en masse peut entrainer une élévation du point de trouble de 1°C. Le compromis entre quantité et qualité apparaît donc ici particulièrement difficile à établir.</w:t>
      </w:r>
      <w:r w:rsidRPr="00745CB8">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14,32</w:t>
      </w:r>
      <w:r w:rsidRPr="00C96A2F">
        <w:rPr>
          <w:rFonts w:asciiTheme="majorBidi" w:hAnsiTheme="majorBidi" w:cstheme="majorBidi"/>
        </w:rPr>
        <w:t>]</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 xml:space="preserve">La coupe gazole provenant du craquage catalytique, appelée Light Cycle OIL (LCO), se caractérise par un indice de cétane très faible (de l’ordre de 20), de fortes teneurs en </w:t>
      </w:r>
      <w:r w:rsidRPr="007D7279">
        <w:rPr>
          <w:rFonts w:asciiTheme="majorBidi" w:hAnsiTheme="majorBidi" w:cstheme="majorBidi"/>
        </w:rPr>
        <w:lastRenderedPageBreak/>
        <w:t>aromatiques, en soufre et en azote, ce qui conduit à limiter très fortement son introduction dans le pool gazole (5 à 10% maximum).</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L’hydrotraitement du LCO permet d’élever son indice de cétane jusqu’au voisinage de 40 (tableau au dessous), mais cette technique est très consommatrice d’hydrogène, pour un résultat somme toute médiocre, les aromatiques étant transformés en naphtènes, encore difficilement auto-inflammables. C’est pourquoi le LCO est dirigé préférentiellement vers le pool fuel domestique (FOD).</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Les gazoles de viscoréduction et de cokéfaction présentent des indices de cétane meilleurs que le LCO mais ils sont très instables et doivent recevoir un traitement à l’hydrogène avant utilisation.</w:t>
      </w:r>
      <w:r w:rsidRPr="00745CB8">
        <w:rPr>
          <w:rFonts w:asciiTheme="majorBidi" w:hAnsiTheme="majorBidi" w:cstheme="majorBidi"/>
        </w:rPr>
        <w:t xml:space="preserve"> </w:t>
      </w:r>
      <w:r w:rsidRPr="007D7279">
        <w:rPr>
          <w:rFonts w:asciiTheme="majorBidi" w:hAnsiTheme="majorBidi" w:cstheme="majorBidi"/>
        </w:rPr>
        <w:t>L’hydrocraquage fournit une coupe gazole de très bonne qualité, en ce qui concerne à la fois l’indice de cétane, le comportement à froid, la stabilité et la teneur en soufre. Cependant, ce type de base n’est disponible qu’en quantités limitées, car le procédé reste encore peu développé, en raison essentiellement de son cout élevé.</w:t>
      </w:r>
    </w:p>
    <w:p w:rsidR="00656AC8" w:rsidRPr="007D7279" w:rsidRDefault="00656AC8" w:rsidP="00F80F9A">
      <w:pPr>
        <w:spacing w:line="360" w:lineRule="auto"/>
        <w:jc w:val="both"/>
        <w:rPr>
          <w:rFonts w:asciiTheme="majorBidi" w:hAnsiTheme="majorBidi" w:cstheme="majorBidi"/>
        </w:rPr>
      </w:pPr>
      <w:r w:rsidRPr="007D7279">
        <w:rPr>
          <w:rFonts w:asciiTheme="majorBidi" w:hAnsiTheme="majorBidi" w:cstheme="majorBidi"/>
        </w:rPr>
        <w:t>Enfin, d’autres procédés nouveaux peuvent fournir des bases utilisables pour le pool gazole, l’oligomérisation des oléfines légères, suivie d’une hydrogénation, fournit des produits d’indice de cétane compris entre 40 et 50, sans soufre ni aromatiques, quant à la synthèse Fischir-Tropsch, elle conduit, de cétane très élevé (65</w:t>
      </w:r>
      <w:r>
        <w:rPr>
          <w:rFonts w:asciiTheme="majorBidi" w:hAnsiTheme="majorBidi" w:cstheme="majorBidi"/>
        </w:rPr>
        <w:t xml:space="preserve"> </w:t>
      </w:r>
      <w:r w:rsidRPr="007D7279">
        <w:rPr>
          <w:rFonts w:asciiTheme="majorBidi" w:hAnsiTheme="majorBidi" w:cstheme="majorBidi"/>
        </w:rPr>
        <w:t>à</w:t>
      </w:r>
      <w:r>
        <w:rPr>
          <w:rFonts w:asciiTheme="majorBidi" w:hAnsiTheme="majorBidi" w:cstheme="majorBidi"/>
        </w:rPr>
        <w:t xml:space="preserve"> </w:t>
      </w:r>
      <w:r w:rsidRPr="007D7279">
        <w:rPr>
          <w:rFonts w:asciiTheme="majorBidi" w:hAnsiTheme="majorBidi" w:cstheme="majorBidi"/>
        </w:rPr>
        <w:t>75), avec de bonnes caractéristiques à froid lorsque le rapport iso/n-paraffines est optimisé.</w:t>
      </w:r>
      <w:r w:rsidRPr="00745CB8">
        <w:rPr>
          <w:rFonts w:asciiTheme="majorBidi" w:hAnsiTheme="majorBidi" w:cstheme="majorBidi"/>
        </w:rPr>
        <w:t xml:space="preserve"> </w:t>
      </w:r>
      <w:r w:rsidRPr="00C96A2F">
        <w:rPr>
          <w:rFonts w:asciiTheme="majorBidi" w:hAnsiTheme="majorBidi" w:cstheme="majorBidi"/>
        </w:rPr>
        <w:t>[1</w:t>
      </w:r>
      <w:r>
        <w:rPr>
          <w:rFonts w:asciiTheme="majorBidi" w:hAnsiTheme="majorBidi" w:cstheme="majorBidi"/>
        </w:rPr>
        <w:t>4,16,18</w:t>
      </w:r>
      <w:r w:rsidRPr="00C96A2F">
        <w:rPr>
          <w:rFonts w:asciiTheme="majorBidi" w:hAnsiTheme="majorBidi" w:cstheme="majorBidi"/>
        </w:rPr>
        <w:t>]</w:t>
      </w:r>
    </w:p>
    <w:p w:rsidR="00656AC8" w:rsidRPr="007D7279" w:rsidRDefault="00656AC8" w:rsidP="000B768D">
      <w:pPr>
        <w:spacing w:line="360" w:lineRule="auto"/>
        <w:jc w:val="center"/>
        <w:rPr>
          <w:rFonts w:asciiTheme="majorBidi" w:hAnsiTheme="majorBidi" w:cstheme="majorBidi"/>
        </w:rPr>
      </w:pPr>
      <w:r w:rsidRPr="007D7279">
        <w:rPr>
          <w:rFonts w:asciiTheme="majorBidi" w:hAnsiTheme="majorBidi" w:cstheme="majorBidi"/>
          <w:noProof/>
          <w:lang w:val="en-US" w:eastAsia="en-US"/>
        </w:rPr>
        <w:drawing>
          <wp:inline distT="0" distB="0" distL="0" distR="0">
            <wp:extent cx="5981700" cy="2905125"/>
            <wp:effectExtent l="19050" t="0" r="0" b="0"/>
            <wp:docPr id="10" name="Image 2" descr="F:\MALAININE\Nouveau dossier (4)\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MALAININE\Nouveau dossier (4)\2.bmp"/>
                    <pic:cNvPicPr>
                      <a:picLocks noChangeAspect="1" noChangeArrowheads="1"/>
                    </pic:cNvPicPr>
                  </pic:nvPicPr>
                  <pic:blipFill>
                    <a:blip r:embed="rId26"/>
                    <a:srcRect/>
                    <a:stretch>
                      <a:fillRect/>
                    </a:stretch>
                  </pic:blipFill>
                  <pic:spPr bwMode="auto">
                    <a:xfrm>
                      <a:off x="0" y="0"/>
                      <a:ext cx="5989529" cy="2908927"/>
                    </a:xfrm>
                    <a:prstGeom prst="rect">
                      <a:avLst/>
                    </a:prstGeom>
                    <a:noFill/>
                    <a:ln w="9525">
                      <a:noFill/>
                      <a:miter lim="800000"/>
                      <a:headEnd/>
                      <a:tailEnd/>
                    </a:ln>
                  </pic:spPr>
                </pic:pic>
              </a:graphicData>
            </a:graphic>
          </wp:inline>
        </w:drawing>
      </w:r>
    </w:p>
    <w:p w:rsidR="00656AC8" w:rsidRPr="00841A6F" w:rsidRDefault="00656AC8" w:rsidP="000B768D">
      <w:pPr>
        <w:jc w:val="center"/>
        <w:rPr>
          <w:rFonts w:asciiTheme="majorBidi" w:hAnsiTheme="majorBidi" w:cstheme="majorBidi"/>
          <w:u w:val="single"/>
        </w:rPr>
      </w:pPr>
      <w:r w:rsidRPr="00745CB8">
        <w:rPr>
          <w:rFonts w:asciiTheme="majorBidi" w:hAnsiTheme="majorBidi" w:cstheme="majorBidi"/>
          <w:b/>
          <w:bCs/>
          <w:u w:val="single"/>
        </w:rPr>
        <w:t>Tableau.</w:t>
      </w:r>
      <w:r>
        <w:rPr>
          <w:rFonts w:asciiTheme="majorBidi" w:hAnsiTheme="majorBidi" w:cstheme="majorBidi"/>
          <w:b/>
          <w:bCs/>
          <w:u w:val="single"/>
        </w:rPr>
        <w:t>I.</w:t>
      </w:r>
      <w:r w:rsidRPr="00745CB8">
        <w:rPr>
          <w:rFonts w:asciiTheme="majorBidi" w:hAnsiTheme="majorBidi" w:cstheme="majorBidi"/>
          <w:b/>
          <w:bCs/>
          <w:u w:val="single"/>
        </w:rPr>
        <w:t>5. Exemple de bases utilisées pour la formulation du gasoil.</w:t>
      </w:r>
      <w:r>
        <w:rPr>
          <w:rFonts w:asciiTheme="majorBidi" w:hAnsiTheme="majorBidi" w:cstheme="majorBidi"/>
          <w:u w:val="single"/>
        </w:rPr>
        <w:t xml:space="preserve"> </w:t>
      </w:r>
      <w:r w:rsidRPr="00C96A2F">
        <w:rPr>
          <w:rFonts w:asciiTheme="majorBidi" w:hAnsiTheme="majorBidi" w:cstheme="majorBidi"/>
        </w:rPr>
        <w:t>[1</w:t>
      </w:r>
      <w:r>
        <w:rPr>
          <w:rFonts w:asciiTheme="majorBidi" w:hAnsiTheme="majorBidi" w:cstheme="majorBidi"/>
        </w:rPr>
        <w:t>4</w:t>
      </w:r>
      <w:r w:rsidRPr="00C96A2F">
        <w:rPr>
          <w:rFonts w:asciiTheme="majorBidi" w:hAnsiTheme="majorBidi" w:cstheme="majorBidi"/>
        </w:rPr>
        <w:t>]</w:t>
      </w:r>
    </w:p>
    <w:p w:rsidR="0098240B" w:rsidRDefault="0098240B" w:rsidP="00F80F9A">
      <w:pPr>
        <w:autoSpaceDE w:val="0"/>
        <w:autoSpaceDN w:val="0"/>
        <w:adjustRightInd w:val="0"/>
        <w:spacing w:line="360" w:lineRule="auto"/>
        <w:jc w:val="both"/>
        <w:rPr>
          <w:b/>
          <w:bCs/>
          <w:sz w:val="28"/>
          <w:szCs w:val="28"/>
          <w:u w:val="single"/>
        </w:rPr>
      </w:pPr>
    </w:p>
    <w:p w:rsidR="0098240B" w:rsidRDefault="0098240B" w:rsidP="00F80F9A">
      <w:pPr>
        <w:autoSpaceDE w:val="0"/>
        <w:autoSpaceDN w:val="0"/>
        <w:adjustRightInd w:val="0"/>
        <w:spacing w:line="360" w:lineRule="auto"/>
        <w:jc w:val="both"/>
        <w:rPr>
          <w:b/>
          <w:bCs/>
          <w:sz w:val="28"/>
          <w:szCs w:val="28"/>
          <w:u w:val="single"/>
        </w:rPr>
      </w:pPr>
    </w:p>
    <w:p w:rsidR="0098240B" w:rsidRDefault="0098240B" w:rsidP="00F80F9A">
      <w:pPr>
        <w:autoSpaceDE w:val="0"/>
        <w:autoSpaceDN w:val="0"/>
        <w:adjustRightInd w:val="0"/>
        <w:spacing w:line="360" w:lineRule="auto"/>
        <w:jc w:val="both"/>
        <w:rPr>
          <w:b/>
          <w:bCs/>
          <w:sz w:val="28"/>
          <w:szCs w:val="28"/>
          <w:u w:val="single"/>
        </w:rPr>
      </w:pPr>
    </w:p>
    <w:p w:rsidR="0098240B" w:rsidRDefault="0098240B" w:rsidP="00F80F9A">
      <w:pPr>
        <w:autoSpaceDE w:val="0"/>
        <w:autoSpaceDN w:val="0"/>
        <w:adjustRightInd w:val="0"/>
        <w:spacing w:line="360" w:lineRule="auto"/>
        <w:jc w:val="both"/>
        <w:rPr>
          <w:b/>
          <w:bCs/>
          <w:sz w:val="28"/>
          <w:szCs w:val="28"/>
          <w:u w:val="single"/>
        </w:rPr>
      </w:pPr>
    </w:p>
    <w:p w:rsidR="00656AC8" w:rsidRPr="00F531EB" w:rsidRDefault="00656AC8" w:rsidP="00F80F9A">
      <w:pPr>
        <w:autoSpaceDE w:val="0"/>
        <w:autoSpaceDN w:val="0"/>
        <w:adjustRightInd w:val="0"/>
        <w:spacing w:line="360" w:lineRule="auto"/>
        <w:jc w:val="both"/>
        <w:rPr>
          <w:b/>
          <w:bCs/>
          <w:sz w:val="28"/>
          <w:szCs w:val="28"/>
        </w:rPr>
      </w:pPr>
      <w:r w:rsidRPr="00F531EB">
        <w:rPr>
          <w:b/>
          <w:bCs/>
          <w:sz w:val="28"/>
          <w:szCs w:val="28"/>
        </w:rPr>
        <w:lastRenderedPageBreak/>
        <w:t xml:space="preserve">I.7. Biodiesel : </w:t>
      </w:r>
    </w:p>
    <w:p w:rsidR="00656AC8" w:rsidRPr="00F531EB" w:rsidRDefault="00656AC8" w:rsidP="00F80F9A">
      <w:pPr>
        <w:autoSpaceDE w:val="0"/>
        <w:autoSpaceDN w:val="0"/>
        <w:adjustRightInd w:val="0"/>
        <w:spacing w:line="360" w:lineRule="auto"/>
        <w:jc w:val="both"/>
        <w:rPr>
          <w:b/>
          <w:bCs/>
        </w:rPr>
      </w:pPr>
      <w:r w:rsidRPr="00F531EB">
        <w:rPr>
          <w:b/>
          <w:bCs/>
        </w:rPr>
        <w:t>I.7.1. Généralités :</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Le biodiesel est un ester d’huile végétale. L’utilisation d’huile végétale comme carburant n’est pas une technique nouvelle. Rudolf Diesel, à l’origine, avait en effet développé le moteur qui porte son nom à l’aide d’huile d’arachide.</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 xml:space="preserve">Ces huiles végétales s’obtiennent classiquement par simple pressage de graines oléagineuses telles que le colza, le tournesol, le soja, etc. Des graisses animales ainsi que des huiles alimentaires usagées peuvent également être utilisées à cet effet. Ces huiles offrent cependant une trop forte viscosité et un indice de cétane (aptitude à l’auto-inflammation) trop faible, ce qui rend problématique leur utilisation directe dans un moteur </w:t>
      </w:r>
      <w:r>
        <w:rPr>
          <w:rFonts w:asciiTheme="majorBidi" w:hAnsiTheme="majorBidi" w:cstheme="majorBidi"/>
        </w:rPr>
        <w:t>D</w:t>
      </w:r>
      <w:r w:rsidRPr="007D7279">
        <w:rPr>
          <w:rFonts w:asciiTheme="majorBidi" w:hAnsiTheme="majorBidi" w:cstheme="majorBidi"/>
        </w:rPr>
        <w:t>iesel traditionnel.</w:t>
      </w:r>
    </w:p>
    <w:p w:rsidR="00656AC8" w:rsidRPr="00745CB8"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 xml:space="preserve">Afin d’obtenir des caractéristiques similaires au </w:t>
      </w:r>
      <w:r>
        <w:rPr>
          <w:rFonts w:asciiTheme="majorBidi" w:hAnsiTheme="majorBidi" w:cstheme="majorBidi"/>
        </w:rPr>
        <w:t>D</w:t>
      </w:r>
      <w:r w:rsidRPr="007D7279">
        <w:rPr>
          <w:rFonts w:asciiTheme="majorBidi" w:hAnsiTheme="majorBidi" w:cstheme="majorBidi"/>
        </w:rPr>
        <w:t>iesel d’origine pétrolière, ces huiles végétale</w:t>
      </w:r>
      <w:r>
        <w:rPr>
          <w:rFonts w:asciiTheme="majorBidi" w:hAnsiTheme="majorBidi" w:cstheme="majorBidi"/>
        </w:rPr>
        <w:t>s vont subir une estérification</w:t>
      </w:r>
      <w:r w:rsidRPr="007D7279">
        <w:rPr>
          <w:rFonts w:asciiTheme="majorBidi" w:hAnsiTheme="majorBidi" w:cstheme="majorBidi"/>
        </w:rPr>
        <w:t xml:space="preserve"> à l’aide d’alcool, principalement du méthanol (à noter que l’éthanol pourrait également être utilisé). Cette réaction est obtenue à l’aide d’un catalyseur basique ou acide à température modérée (20</w:t>
      </w:r>
      <w:r>
        <w:rPr>
          <w:rFonts w:asciiTheme="majorBidi" w:hAnsiTheme="majorBidi" w:cstheme="majorBidi"/>
        </w:rPr>
        <w:t xml:space="preserve"> - </w:t>
      </w:r>
      <w:r w:rsidRPr="007D7279">
        <w:rPr>
          <w:rFonts w:asciiTheme="majorBidi" w:hAnsiTheme="majorBidi" w:cstheme="majorBidi"/>
        </w:rPr>
        <w:t>80°C) et à pression atmosphérique.</w:t>
      </w:r>
      <w:r w:rsidRPr="00745CB8">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19</w:t>
      </w:r>
      <w:r w:rsidRPr="00C96A2F">
        <w:rPr>
          <w:rFonts w:asciiTheme="majorBidi" w:hAnsiTheme="majorBidi" w:cstheme="majorBidi"/>
        </w:rPr>
        <w:t>]</w:t>
      </w:r>
    </w:p>
    <w:p w:rsidR="00656AC8" w:rsidRDefault="00656AC8" w:rsidP="00F80F9A">
      <w:pPr>
        <w:jc w:val="both"/>
        <w:rPr>
          <w:rFonts w:asciiTheme="majorBidi" w:hAnsiTheme="majorBidi" w:cstheme="majorBidi"/>
          <w:u w:val="single"/>
        </w:rPr>
      </w:pPr>
    </w:p>
    <w:p w:rsidR="00656AC8" w:rsidRPr="00F531EB" w:rsidRDefault="00656AC8" w:rsidP="00F80F9A">
      <w:pPr>
        <w:spacing w:line="360" w:lineRule="auto"/>
        <w:jc w:val="both"/>
        <w:rPr>
          <w:rFonts w:asciiTheme="majorBidi" w:hAnsiTheme="majorBidi" w:cstheme="majorBidi"/>
          <w:b/>
          <w:bCs/>
        </w:rPr>
      </w:pPr>
      <w:r w:rsidRPr="00F531EB">
        <w:rPr>
          <w:rFonts w:asciiTheme="majorBidi" w:hAnsiTheme="majorBidi" w:cstheme="majorBidi"/>
          <w:b/>
          <w:bCs/>
        </w:rPr>
        <w:t>I.7.2. fabrication du biodiesel :</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La fabrication du biodiesel est donc relativement simple du point de vue technique, ce qui permet également d’avoir de petites unités de production décentralisées, sans surcoûts excessifs. Ceci représente un avantage certain, limitant ainsi le transport de la matière première et permettant, dans une phase de transition, de commencer avec des installations de tailles modestes.</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En fonction de la matière première utilisée, le biodiesel peut avo</w:t>
      </w:r>
      <w:r>
        <w:rPr>
          <w:rFonts w:asciiTheme="majorBidi" w:hAnsiTheme="majorBidi" w:cstheme="majorBidi"/>
        </w:rPr>
        <w:t>ir différentes dénominations : E</w:t>
      </w:r>
      <w:r w:rsidRPr="007D7279">
        <w:rPr>
          <w:rFonts w:asciiTheme="majorBidi" w:hAnsiTheme="majorBidi" w:cstheme="majorBidi"/>
        </w:rPr>
        <w:t>ster méthylique de colza, EMC (RME en anglais), ester méthylique de tournesol EMT, etc. Les rendements de production d</w:t>
      </w:r>
      <w:r>
        <w:rPr>
          <w:rFonts w:asciiTheme="majorBidi" w:hAnsiTheme="majorBidi" w:cstheme="majorBidi"/>
        </w:rPr>
        <w:t>u</w:t>
      </w:r>
      <w:r w:rsidRPr="007D7279">
        <w:rPr>
          <w:rFonts w:asciiTheme="majorBidi" w:hAnsiTheme="majorBidi" w:cstheme="majorBidi"/>
        </w:rPr>
        <w:t xml:space="preserve"> biodiesel à partir de colza, de tournesol ou encore de soja sont indiqués dans le tableau</w:t>
      </w:r>
      <w:r>
        <w:rPr>
          <w:rFonts w:asciiTheme="majorBidi" w:hAnsiTheme="majorBidi" w:cstheme="majorBidi"/>
        </w:rPr>
        <w:t>.6.</w:t>
      </w:r>
      <w:r w:rsidRPr="007D7279">
        <w:rPr>
          <w:rFonts w:asciiTheme="majorBidi" w:hAnsiTheme="majorBidi" w:cstheme="majorBidi"/>
        </w:rPr>
        <w:t xml:space="preserve"> ci</w:t>
      </w:r>
      <w:r>
        <w:rPr>
          <w:rFonts w:asciiTheme="majorBidi" w:hAnsiTheme="majorBidi" w:cstheme="majorBidi"/>
        </w:rPr>
        <w:t>-</w:t>
      </w:r>
      <w:r w:rsidRPr="007D7279">
        <w:rPr>
          <w:rFonts w:asciiTheme="majorBidi" w:hAnsiTheme="majorBidi" w:cstheme="majorBidi"/>
        </w:rPr>
        <w:t>dessous.</w:t>
      </w:r>
      <w:r w:rsidRPr="00745CB8">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19,20</w:t>
      </w:r>
      <w:r w:rsidRPr="00C96A2F">
        <w:rPr>
          <w:rFonts w:asciiTheme="majorBidi" w:hAnsiTheme="majorBidi" w:cstheme="majorBidi"/>
        </w:rPr>
        <w:t>]</w:t>
      </w:r>
    </w:p>
    <w:p w:rsidR="00656AC8" w:rsidRDefault="00656AC8" w:rsidP="000B768D">
      <w:pPr>
        <w:autoSpaceDE w:val="0"/>
        <w:autoSpaceDN w:val="0"/>
        <w:adjustRightInd w:val="0"/>
        <w:spacing w:line="360" w:lineRule="auto"/>
        <w:jc w:val="center"/>
        <w:rPr>
          <w:rFonts w:asciiTheme="majorBidi" w:hAnsiTheme="majorBidi" w:cstheme="majorBidi"/>
        </w:rPr>
      </w:pPr>
      <w:r w:rsidRPr="007D7279">
        <w:rPr>
          <w:rFonts w:asciiTheme="majorBidi" w:hAnsiTheme="majorBidi" w:cstheme="majorBidi"/>
          <w:noProof/>
          <w:lang w:val="en-US" w:eastAsia="en-US"/>
        </w:rPr>
        <w:drawing>
          <wp:inline distT="0" distB="0" distL="0" distR="0">
            <wp:extent cx="5486400" cy="937146"/>
            <wp:effectExtent l="19050" t="0" r="0" b="0"/>
            <wp:docPr id="5"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rcRect/>
                    <a:stretch>
                      <a:fillRect/>
                    </a:stretch>
                  </pic:blipFill>
                  <pic:spPr bwMode="auto">
                    <a:xfrm>
                      <a:off x="0" y="0"/>
                      <a:ext cx="5486400" cy="937146"/>
                    </a:xfrm>
                    <a:prstGeom prst="rect">
                      <a:avLst/>
                    </a:prstGeom>
                    <a:noFill/>
                    <a:ln w="9525">
                      <a:noFill/>
                      <a:miter lim="800000"/>
                      <a:headEnd/>
                      <a:tailEnd/>
                    </a:ln>
                  </pic:spPr>
                </pic:pic>
              </a:graphicData>
            </a:graphic>
          </wp:inline>
        </w:drawing>
      </w:r>
    </w:p>
    <w:p w:rsidR="00656AC8" w:rsidRPr="006F6DF0" w:rsidRDefault="00656AC8" w:rsidP="000B768D">
      <w:pPr>
        <w:jc w:val="center"/>
        <w:rPr>
          <w:rFonts w:asciiTheme="majorBidi" w:hAnsiTheme="majorBidi" w:cstheme="majorBidi"/>
          <w:u w:val="single"/>
        </w:rPr>
      </w:pPr>
      <w:r w:rsidRPr="00745CB8">
        <w:rPr>
          <w:rFonts w:asciiTheme="majorBidi" w:hAnsiTheme="majorBidi" w:cstheme="majorBidi"/>
          <w:b/>
          <w:bCs/>
          <w:u w:val="single"/>
        </w:rPr>
        <w:t>Tableau.</w:t>
      </w:r>
      <w:r>
        <w:rPr>
          <w:rFonts w:asciiTheme="majorBidi" w:hAnsiTheme="majorBidi" w:cstheme="majorBidi"/>
          <w:b/>
          <w:bCs/>
          <w:u w:val="single"/>
        </w:rPr>
        <w:t>I.</w:t>
      </w:r>
      <w:r w:rsidRPr="00745CB8">
        <w:rPr>
          <w:rFonts w:asciiTheme="majorBidi" w:hAnsiTheme="majorBidi" w:cstheme="majorBidi"/>
          <w:b/>
          <w:bCs/>
          <w:u w:val="single"/>
        </w:rPr>
        <w:t>6. production du biodiesel à partir de colza, de tournesol ou encore de soja</w:t>
      </w:r>
      <w:r>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20</w:t>
      </w:r>
      <w:r w:rsidRPr="00C96A2F">
        <w:rPr>
          <w:rFonts w:asciiTheme="majorBidi" w:hAnsiTheme="majorBidi" w:cstheme="majorBidi"/>
        </w:rPr>
        <w:t>]</w:t>
      </w:r>
    </w:p>
    <w:p w:rsidR="00656AC8" w:rsidRPr="007D7279" w:rsidRDefault="00656AC8" w:rsidP="000B768D">
      <w:pPr>
        <w:autoSpaceDE w:val="0"/>
        <w:autoSpaceDN w:val="0"/>
        <w:adjustRightInd w:val="0"/>
        <w:spacing w:line="360" w:lineRule="auto"/>
        <w:jc w:val="center"/>
        <w:rPr>
          <w:rFonts w:asciiTheme="majorBidi" w:hAnsiTheme="majorBidi" w:cstheme="majorBidi"/>
        </w:rPr>
      </w:pPr>
      <w:r w:rsidRPr="007D7279">
        <w:rPr>
          <w:rFonts w:asciiTheme="majorBidi" w:hAnsiTheme="majorBidi" w:cstheme="majorBidi"/>
          <w:noProof/>
          <w:lang w:val="en-US" w:eastAsia="en-US"/>
        </w:rPr>
        <w:lastRenderedPageBreak/>
        <w:drawing>
          <wp:inline distT="0" distB="0" distL="0" distR="0">
            <wp:extent cx="5274310" cy="2965384"/>
            <wp:effectExtent l="19050" t="0" r="2540" b="0"/>
            <wp:docPr id="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a:stretch>
                      <a:fillRect/>
                    </a:stretch>
                  </pic:blipFill>
                  <pic:spPr bwMode="auto">
                    <a:xfrm>
                      <a:off x="0" y="0"/>
                      <a:ext cx="5274310" cy="2965384"/>
                    </a:xfrm>
                    <a:prstGeom prst="rect">
                      <a:avLst/>
                    </a:prstGeom>
                    <a:noFill/>
                    <a:ln w="9525">
                      <a:noFill/>
                      <a:miter lim="800000"/>
                      <a:headEnd/>
                      <a:tailEnd/>
                    </a:ln>
                  </pic:spPr>
                </pic:pic>
              </a:graphicData>
            </a:graphic>
          </wp:inline>
        </w:drawing>
      </w:r>
    </w:p>
    <w:p w:rsidR="00656AC8" w:rsidRPr="00841A6F" w:rsidRDefault="00656AC8" w:rsidP="000B768D">
      <w:pPr>
        <w:tabs>
          <w:tab w:val="left" w:pos="3555"/>
        </w:tabs>
        <w:autoSpaceDE w:val="0"/>
        <w:autoSpaceDN w:val="0"/>
        <w:adjustRightInd w:val="0"/>
        <w:spacing w:line="360" w:lineRule="auto"/>
        <w:jc w:val="center"/>
        <w:rPr>
          <w:rFonts w:asciiTheme="majorBidi" w:hAnsiTheme="majorBidi" w:cstheme="majorBidi"/>
          <w:u w:val="single"/>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745CB8">
        <w:rPr>
          <w:rFonts w:asciiTheme="majorBidi" w:hAnsiTheme="majorBidi" w:cstheme="majorBidi"/>
          <w:b/>
          <w:bCs/>
          <w:u w:val="single"/>
        </w:rPr>
        <w:t>9. Production du biodiesel</w:t>
      </w:r>
      <w:r>
        <w:rPr>
          <w:rFonts w:asciiTheme="majorBidi" w:hAnsiTheme="majorBidi" w:cstheme="majorBidi"/>
          <w:u w:val="single"/>
        </w:rPr>
        <w:t xml:space="preserve"> </w:t>
      </w:r>
      <w:r w:rsidRPr="00C96A2F">
        <w:rPr>
          <w:rFonts w:asciiTheme="majorBidi" w:hAnsiTheme="majorBidi" w:cstheme="majorBidi"/>
        </w:rPr>
        <w:t>[</w:t>
      </w:r>
      <w:r>
        <w:rPr>
          <w:rFonts w:asciiTheme="majorBidi" w:hAnsiTheme="majorBidi" w:cstheme="majorBidi"/>
        </w:rPr>
        <w:t>19</w:t>
      </w:r>
      <w:r w:rsidRPr="00C96A2F">
        <w:rPr>
          <w:rFonts w:asciiTheme="majorBidi" w:hAnsiTheme="majorBidi" w:cstheme="majorBidi"/>
        </w:rPr>
        <w:t>]</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Parallèlement à ces filières de production à partir de ressources agricoles, le biodiesel peut également être produit à partir d</w:t>
      </w:r>
      <w:r>
        <w:rPr>
          <w:rFonts w:asciiTheme="majorBidi" w:hAnsiTheme="majorBidi" w:cstheme="majorBidi"/>
        </w:rPr>
        <w:t>’</w:t>
      </w:r>
      <w:r w:rsidRPr="007D7279">
        <w:rPr>
          <w:rFonts w:asciiTheme="majorBidi" w:hAnsiTheme="majorBidi" w:cstheme="majorBidi"/>
        </w:rPr>
        <w:t>huiles végétales usagées (typiquement huiles de cuisson). Cette filière, bien qu</w:t>
      </w:r>
      <w:r>
        <w:rPr>
          <w:rFonts w:asciiTheme="majorBidi" w:hAnsiTheme="majorBidi" w:cstheme="majorBidi"/>
        </w:rPr>
        <w:t>’</w:t>
      </w:r>
      <w:r w:rsidRPr="007D7279">
        <w:rPr>
          <w:rFonts w:asciiTheme="majorBidi" w:hAnsiTheme="majorBidi" w:cstheme="majorBidi"/>
        </w:rPr>
        <w:t>encore peu développée, représente à l</w:t>
      </w:r>
      <w:r>
        <w:rPr>
          <w:rFonts w:asciiTheme="majorBidi" w:hAnsiTheme="majorBidi" w:cstheme="majorBidi"/>
        </w:rPr>
        <w:t>’</w:t>
      </w:r>
      <w:r w:rsidRPr="007D7279">
        <w:rPr>
          <w:rFonts w:asciiTheme="majorBidi" w:hAnsiTheme="majorBidi" w:cstheme="majorBidi"/>
        </w:rPr>
        <w:t>heure actuelle un réel potentiel pour les années à venir.</w:t>
      </w:r>
    </w:p>
    <w:p w:rsidR="00656AC8" w:rsidRPr="00F531EB" w:rsidRDefault="00656AC8" w:rsidP="00F80F9A">
      <w:pPr>
        <w:autoSpaceDE w:val="0"/>
        <w:autoSpaceDN w:val="0"/>
        <w:adjustRightInd w:val="0"/>
        <w:spacing w:line="360" w:lineRule="auto"/>
        <w:jc w:val="both"/>
        <w:rPr>
          <w:rFonts w:asciiTheme="majorBidi" w:hAnsiTheme="majorBidi" w:cstheme="majorBidi"/>
          <w:b/>
          <w:bCs/>
        </w:rPr>
      </w:pPr>
      <w:r w:rsidRPr="00F531EB">
        <w:rPr>
          <w:rFonts w:asciiTheme="majorBidi" w:hAnsiTheme="majorBidi" w:cstheme="majorBidi"/>
          <w:b/>
          <w:bCs/>
        </w:rPr>
        <w:t>I.7.3. Processus :</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Il existe trois processus chimiques de production d</w:t>
      </w:r>
      <w:r>
        <w:rPr>
          <w:rFonts w:asciiTheme="majorBidi" w:hAnsiTheme="majorBidi" w:cstheme="majorBidi"/>
        </w:rPr>
        <w:t>u</w:t>
      </w:r>
      <w:r w:rsidRPr="007D7279">
        <w:rPr>
          <w:rFonts w:asciiTheme="majorBidi" w:hAnsiTheme="majorBidi" w:cstheme="majorBidi"/>
        </w:rPr>
        <w:t xml:space="preserve"> biodiesel</w:t>
      </w:r>
      <w:r>
        <w:rPr>
          <w:rFonts w:asciiTheme="majorBidi" w:hAnsiTheme="majorBidi" w:cstheme="majorBidi"/>
        </w:rPr>
        <w:t> </w:t>
      </w:r>
      <w:r w:rsidRPr="007D7279">
        <w:rPr>
          <w:rFonts w:asciiTheme="majorBidi" w:hAnsiTheme="majorBidi" w:cstheme="majorBidi"/>
        </w:rPr>
        <w:t>:</w:t>
      </w:r>
      <w:r w:rsidRPr="00745CB8">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21,22,24</w:t>
      </w:r>
      <w:r w:rsidRPr="00C96A2F">
        <w:rPr>
          <w:rFonts w:asciiTheme="majorBidi" w:hAnsiTheme="majorBidi" w:cstheme="majorBidi"/>
        </w:rPr>
        <w:t>]</w:t>
      </w:r>
    </w:p>
    <w:p w:rsidR="00656AC8" w:rsidRPr="007D7279" w:rsidRDefault="00656AC8" w:rsidP="00F80F9A">
      <w:pPr>
        <w:autoSpaceDE w:val="0"/>
        <w:autoSpaceDN w:val="0"/>
        <w:adjustRightInd w:val="0"/>
        <w:spacing w:line="360" w:lineRule="auto"/>
        <w:jc w:val="both"/>
        <w:rPr>
          <w:rFonts w:asciiTheme="majorBidi" w:hAnsiTheme="majorBidi" w:cstheme="majorBidi"/>
        </w:rPr>
      </w:pPr>
      <w:r>
        <w:rPr>
          <w:rFonts w:asciiTheme="majorBidi" w:hAnsiTheme="majorBidi" w:cstheme="majorBidi"/>
        </w:rPr>
        <w:t>1. Tra</w:t>
      </w:r>
      <w:r w:rsidRPr="007D7279">
        <w:rPr>
          <w:rFonts w:asciiTheme="majorBidi" w:hAnsiTheme="majorBidi" w:cstheme="majorBidi"/>
        </w:rPr>
        <w:t>nsestérification</w:t>
      </w:r>
      <w:r>
        <w:rPr>
          <w:rFonts w:asciiTheme="majorBidi" w:hAnsiTheme="majorBidi" w:cstheme="majorBidi"/>
        </w:rPr>
        <w:t> </w:t>
      </w:r>
      <w:r w:rsidRPr="007D7279">
        <w:rPr>
          <w:rFonts w:asciiTheme="majorBidi" w:hAnsiTheme="majorBidi" w:cstheme="majorBidi"/>
        </w:rPr>
        <w:t>: matière grasses mélangées avec un alcool (méthanol ou éthanol) en présence d’un catalyseur basique et</w:t>
      </w:r>
      <w:r>
        <w:rPr>
          <w:rFonts w:asciiTheme="majorBidi" w:hAnsiTheme="majorBidi" w:cstheme="majorBidi"/>
        </w:rPr>
        <w:t xml:space="preserve"> d’une source</w:t>
      </w:r>
      <w:r w:rsidRPr="007D7279">
        <w:rPr>
          <w:rFonts w:asciiTheme="majorBidi" w:hAnsiTheme="majorBidi" w:cstheme="majorBidi"/>
        </w:rPr>
        <w:t xml:space="preserve"> de</w:t>
      </w:r>
      <w:r>
        <w:rPr>
          <w:rFonts w:asciiTheme="majorBidi" w:hAnsiTheme="majorBidi" w:cstheme="majorBidi"/>
        </w:rPr>
        <w:t xml:space="preserve"> la</w:t>
      </w:r>
      <w:r w:rsidRPr="007D7279">
        <w:rPr>
          <w:rFonts w:asciiTheme="majorBidi" w:hAnsiTheme="majorBidi" w:cstheme="majorBidi"/>
        </w:rPr>
        <w:t xml:space="preserve"> chaleur. Ce procédé est le plus couramment utilisé puisqu’il s’agit de la méthode la plus économique pour produire du biodiesel.</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2. Estérification</w:t>
      </w:r>
      <w:r>
        <w:rPr>
          <w:rFonts w:asciiTheme="majorBidi" w:hAnsiTheme="majorBidi" w:cstheme="majorBidi"/>
        </w:rPr>
        <w:t> </w:t>
      </w:r>
      <w:r w:rsidRPr="007D7279">
        <w:rPr>
          <w:rFonts w:asciiTheme="majorBidi" w:hAnsiTheme="majorBidi" w:cstheme="majorBidi"/>
        </w:rPr>
        <w:t xml:space="preserve">: matières grasses mélangées avec un alcool (méthanol ou éthanol) en présence d’un catalyseur acide </w:t>
      </w:r>
      <w:r>
        <w:rPr>
          <w:rFonts w:asciiTheme="majorBidi" w:hAnsiTheme="majorBidi" w:cstheme="majorBidi"/>
        </w:rPr>
        <w:t>r d’une source</w:t>
      </w:r>
      <w:r w:rsidRPr="007D7279">
        <w:rPr>
          <w:rFonts w:asciiTheme="majorBidi" w:hAnsiTheme="majorBidi" w:cstheme="majorBidi"/>
        </w:rPr>
        <w:t xml:space="preserve"> de</w:t>
      </w:r>
      <w:r>
        <w:rPr>
          <w:rFonts w:asciiTheme="majorBidi" w:hAnsiTheme="majorBidi" w:cstheme="majorBidi"/>
        </w:rPr>
        <w:t xml:space="preserve"> la</w:t>
      </w:r>
      <w:r w:rsidRPr="007D7279">
        <w:rPr>
          <w:rFonts w:asciiTheme="majorBidi" w:hAnsiTheme="majorBidi" w:cstheme="majorBidi"/>
        </w:rPr>
        <w:t xml:space="preserve"> chaleur.</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3. Conversion des matières grasses en acides gras d’abord et ensuite à l’aide d’une catalyse acide (estérification)</w:t>
      </w:r>
    </w:p>
    <w:p w:rsidR="00656AC8" w:rsidRPr="00841A6F"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Les caractéristiques (comportement au froid, point d’éclair, indice de cétane….) du biodiesel produit vont varier selon la matière et le type d’alcool utilisé pour la réaction chimique.</w:t>
      </w:r>
    </w:p>
    <w:p w:rsidR="00656AC8" w:rsidRPr="00F531EB" w:rsidRDefault="00656AC8" w:rsidP="00F80F9A">
      <w:pPr>
        <w:autoSpaceDE w:val="0"/>
        <w:autoSpaceDN w:val="0"/>
        <w:adjustRightInd w:val="0"/>
        <w:spacing w:line="360" w:lineRule="auto"/>
        <w:jc w:val="both"/>
        <w:rPr>
          <w:rFonts w:asciiTheme="majorBidi" w:hAnsiTheme="majorBidi" w:cstheme="majorBidi"/>
          <w:b/>
          <w:bCs/>
        </w:rPr>
      </w:pPr>
      <w:r w:rsidRPr="00F531EB">
        <w:rPr>
          <w:rFonts w:asciiTheme="majorBidi" w:hAnsiTheme="majorBidi" w:cstheme="majorBidi"/>
          <w:b/>
          <w:bCs/>
        </w:rPr>
        <w:t>I.7.4. Produit :</w:t>
      </w:r>
    </w:p>
    <w:p w:rsidR="00656AC8"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 xml:space="preserve">Le biodiesel peut être utilisé dans les systèmes alimentés au </w:t>
      </w:r>
      <w:r>
        <w:rPr>
          <w:rFonts w:asciiTheme="majorBidi" w:hAnsiTheme="majorBidi" w:cstheme="majorBidi"/>
        </w:rPr>
        <w:t>D</w:t>
      </w:r>
      <w:r w:rsidRPr="007D7279">
        <w:rPr>
          <w:rFonts w:asciiTheme="majorBidi" w:hAnsiTheme="majorBidi" w:cstheme="majorBidi"/>
        </w:rPr>
        <w:t>iesel pour les transports sur route ou hors</w:t>
      </w:r>
      <w:r>
        <w:rPr>
          <w:rFonts w:asciiTheme="majorBidi" w:hAnsiTheme="majorBidi" w:cstheme="majorBidi"/>
        </w:rPr>
        <w:t xml:space="preserve"> de la</w:t>
      </w:r>
      <w:r w:rsidRPr="007D7279">
        <w:rPr>
          <w:rFonts w:asciiTheme="majorBidi" w:hAnsiTheme="majorBidi" w:cstheme="majorBidi"/>
        </w:rPr>
        <w:t xml:space="preserve"> route et également dans les génératrices fonctionnant au </w:t>
      </w:r>
      <w:r>
        <w:rPr>
          <w:rFonts w:asciiTheme="majorBidi" w:hAnsiTheme="majorBidi" w:cstheme="majorBidi"/>
        </w:rPr>
        <w:t>D</w:t>
      </w:r>
      <w:r w:rsidRPr="007D7279">
        <w:rPr>
          <w:rFonts w:asciiTheme="majorBidi" w:hAnsiTheme="majorBidi" w:cstheme="majorBidi"/>
        </w:rPr>
        <w:t>iesel. Il peut également servir pour le chauffage dans des chaudières ou fournaises en remplacement du mazout.</w:t>
      </w:r>
    </w:p>
    <w:p w:rsidR="0098240B" w:rsidRPr="007D7279" w:rsidRDefault="0098240B" w:rsidP="00F80F9A">
      <w:pPr>
        <w:autoSpaceDE w:val="0"/>
        <w:autoSpaceDN w:val="0"/>
        <w:adjustRightInd w:val="0"/>
        <w:spacing w:line="360" w:lineRule="auto"/>
        <w:jc w:val="both"/>
        <w:rPr>
          <w:rFonts w:asciiTheme="majorBidi" w:hAnsiTheme="majorBidi" w:cstheme="majorBidi"/>
        </w:rPr>
      </w:pPr>
    </w:p>
    <w:p w:rsidR="00656AC8" w:rsidRPr="00F531EB" w:rsidRDefault="00656AC8" w:rsidP="00F80F9A">
      <w:pPr>
        <w:autoSpaceDE w:val="0"/>
        <w:autoSpaceDN w:val="0"/>
        <w:adjustRightInd w:val="0"/>
        <w:spacing w:line="360" w:lineRule="auto"/>
        <w:jc w:val="both"/>
        <w:rPr>
          <w:rFonts w:asciiTheme="majorBidi" w:hAnsiTheme="majorBidi" w:cstheme="majorBidi"/>
          <w:b/>
          <w:bCs/>
        </w:rPr>
      </w:pPr>
      <w:r w:rsidRPr="00F531EB">
        <w:rPr>
          <w:rFonts w:asciiTheme="majorBidi" w:hAnsiTheme="majorBidi" w:cstheme="majorBidi"/>
          <w:b/>
          <w:bCs/>
        </w:rPr>
        <w:lastRenderedPageBreak/>
        <w:t>I.7.5. Coproduits :</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La glycérine peut être utilisée pour la fabrication de produits pharmaceutiques et cosmétiques ainsi que dans les digesteurs anaérobiques afin d’augmenter la production d’énergie. Le tourteau est également un coproduit lorsque l’usine de biodiesel intègre une unité d’extraction d’huile de canola ou de so</w:t>
      </w:r>
      <w:r>
        <w:rPr>
          <w:rFonts w:asciiTheme="majorBidi" w:hAnsiTheme="majorBidi" w:cstheme="majorBidi"/>
        </w:rPr>
        <w:t>j</w:t>
      </w:r>
      <w:r w:rsidRPr="007D7279">
        <w:rPr>
          <w:rFonts w:asciiTheme="majorBidi" w:hAnsiTheme="majorBidi" w:cstheme="majorBidi"/>
        </w:rPr>
        <w:t>a et il peut être utilisé pour l’alimentation animale.</w:t>
      </w:r>
      <w:r w:rsidRPr="00745CB8">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23,24</w:t>
      </w:r>
      <w:r w:rsidRPr="00C96A2F">
        <w:rPr>
          <w:rFonts w:asciiTheme="majorBidi" w:hAnsiTheme="majorBidi" w:cstheme="majorBidi"/>
        </w:rPr>
        <w:t>]</w:t>
      </w:r>
    </w:p>
    <w:p w:rsidR="00656AC8" w:rsidRPr="007D7279" w:rsidRDefault="00656AC8" w:rsidP="00F80F9A">
      <w:pPr>
        <w:autoSpaceDE w:val="0"/>
        <w:autoSpaceDN w:val="0"/>
        <w:adjustRightInd w:val="0"/>
        <w:jc w:val="both"/>
        <w:rPr>
          <w:rFonts w:ascii="Arial" w:hAnsi="Arial"/>
          <w:sz w:val="21"/>
          <w:szCs w:val="21"/>
        </w:rPr>
      </w:pPr>
    </w:p>
    <w:p w:rsidR="00656AC8" w:rsidRPr="007D7279" w:rsidRDefault="00656AC8" w:rsidP="000B768D">
      <w:pPr>
        <w:autoSpaceDE w:val="0"/>
        <w:autoSpaceDN w:val="0"/>
        <w:adjustRightInd w:val="0"/>
        <w:jc w:val="center"/>
        <w:rPr>
          <w:rFonts w:ascii="Arial" w:hAnsi="Arial"/>
          <w:sz w:val="21"/>
          <w:szCs w:val="21"/>
        </w:rPr>
      </w:pPr>
      <w:r w:rsidRPr="007D7279">
        <w:rPr>
          <w:rFonts w:ascii="Arial" w:hAnsi="Arial"/>
          <w:noProof/>
          <w:sz w:val="21"/>
          <w:szCs w:val="21"/>
          <w:lang w:val="en-US" w:eastAsia="en-US"/>
        </w:rPr>
        <w:drawing>
          <wp:inline distT="0" distB="0" distL="0" distR="0">
            <wp:extent cx="4981575" cy="857250"/>
            <wp:effectExtent l="19050" t="0" r="9525" b="0"/>
            <wp:docPr id="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a:stretch>
                      <a:fillRect/>
                    </a:stretch>
                  </pic:blipFill>
                  <pic:spPr bwMode="auto">
                    <a:xfrm>
                      <a:off x="0" y="0"/>
                      <a:ext cx="4981575" cy="857250"/>
                    </a:xfrm>
                    <a:prstGeom prst="rect">
                      <a:avLst/>
                    </a:prstGeom>
                    <a:noFill/>
                    <a:ln w="9525">
                      <a:noFill/>
                      <a:miter lim="800000"/>
                      <a:headEnd/>
                      <a:tailEnd/>
                    </a:ln>
                  </pic:spPr>
                </pic:pic>
              </a:graphicData>
            </a:graphic>
          </wp:inline>
        </w:drawing>
      </w:r>
    </w:p>
    <w:p w:rsidR="00656AC8" w:rsidRPr="00841A6F" w:rsidRDefault="00656AC8" w:rsidP="000B768D">
      <w:pPr>
        <w:autoSpaceDE w:val="0"/>
        <w:autoSpaceDN w:val="0"/>
        <w:adjustRightInd w:val="0"/>
        <w:jc w:val="center"/>
        <w:rPr>
          <w:rFonts w:asciiTheme="majorBidi" w:hAnsiTheme="majorBidi" w:cstheme="majorBidi"/>
          <w:u w:val="single"/>
        </w:rPr>
      </w:pPr>
      <w:r w:rsidRPr="0098240B">
        <w:rPr>
          <w:rFonts w:asciiTheme="majorBidi" w:hAnsiTheme="majorBidi" w:cstheme="majorBidi"/>
          <w:b/>
          <w:bCs/>
          <w:u w:val="single"/>
        </w:rPr>
        <w:t>Figure.I.</w:t>
      </w:r>
      <w:r w:rsidRPr="00745CB8">
        <w:rPr>
          <w:rFonts w:asciiTheme="majorBidi" w:hAnsiTheme="majorBidi" w:cstheme="majorBidi"/>
          <w:b/>
          <w:bCs/>
          <w:u w:val="single"/>
        </w:rPr>
        <w:t>10.Production du biodiesel</w:t>
      </w:r>
      <w:r>
        <w:rPr>
          <w:rFonts w:asciiTheme="majorBidi" w:hAnsiTheme="majorBidi" w:cstheme="majorBidi"/>
          <w:u w:val="single"/>
        </w:rPr>
        <w:t xml:space="preserve"> </w:t>
      </w:r>
      <w:r w:rsidRPr="00C96A2F">
        <w:rPr>
          <w:rFonts w:asciiTheme="majorBidi" w:hAnsiTheme="majorBidi" w:cstheme="majorBidi"/>
        </w:rPr>
        <w:t>[</w:t>
      </w:r>
      <w:r>
        <w:rPr>
          <w:rFonts w:asciiTheme="majorBidi" w:hAnsiTheme="majorBidi" w:cstheme="majorBidi"/>
        </w:rPr>
        <w:t>22,23</w:t>
      </w:r>
      <w:r w:rsidRPr="00C96A2F">
        <w:rPr>
          <w:rFonts w:asciiTheme="majorBidi" w:hAnsiTheme="majorBidi" w:cstheme="majorBidi"/>
        </w:rPr>
        <w:t>]</w:t>
      </w:r>
    </w:p>
    <w:p w:rsidR="0098240B" w:rsidRDefault="0098240B" w:rsidP="00F80F9A">
      <w:pPr>
        <w:autoSpaceDE w:val="0"/>
        <w:autoSpaceDN w:val="0"/>
        <w:adjustRightInd w:val="0"/>
        <w:spacing w:line="360" w:lineRule="auto"/>
        <w:jc w:val="both"/>
        <w:rPr>
          <w:rFonts w:asciiTheme="majorBidi" w:hAnsiTheme="majorBidi" w:cstheme="majorBidi"/>
          <w:u w:val="single"/>
        </w:rPr>
      </w:pPr>
    </w:p>
    <w:p w:rsidR="00656AC8" w:rsidRPr="00F531EB" w:rsidRDefault="00656AC8" w:rsidP="00F80F9A">
      <w:pPr>
        <w:autoSpaceDE w:val="0"/>
        <w:autoSpaceDN w:val="0"/>
        <w:adjustRightInd w:val="0"/>
        <w:spacing w:line="360" w:lineRule="auto"/>
        <w:jc w:val="both"/>
        <w:rPr>
          <w:rFonts w:asciiTheme="majorBidi" w:hAnsiTheme="majorBidi" w:cstheme="majorBidi"/>
          <w:b/>
          <w:bCs/>
        </w:rPr>
      </w:pPr>
      <w:r w:rsidRPr="00F531EB">
        <w:rPr>
          <w:rFonts w:asciiTheme="majorBidi" w:hAnsiTheme="majorBidi" w:cstheme="majorBidi"/>
          <w:b/>
          <w:bCs/>
        </w:rPr>
        <w:t>I.7.6. Spécification du biodiesel :</w:t>
      </w:r>
    </w:p>
    <w:p w:rsidR="00656AC8" w:rsidRPr="007D7279" w:rsidRDefault="00656AC8" w:rsidP="00F80F9A">
      <w:pPr>
        <w:autoSpaceDE w:val="0"/>
        <w:autoSpaceDN w:val="0"/>
        <w:adjustRightInd w:val="0"/>
        <w:jc w:val="both"/>
        <w:rPr>
          <w:rFonts w:ascii="Arial" w:hAnsi="Arial"/>
          <w:sz w:val="21"/>
          <w:szCs w:val="21"/>
        </w:rPr>
      </w:pPr>
    </w:p>
    <w:tbl>
      <w:tblPr>
        <w:tblStyle w:val="Grilledutableau"/>
        <w:tblW w:w="0" w:type="auto"/>
        <w:jc w:val="center"/>
        <w:tblLook w:val="04A0"/>
      </w:tblPr>
      <w:tblGrid>
        <w:gridCol w:w="3085"/>
        <w:gridCol w:w="2268"/>
        <w:gridCol w:w="1985"/>
        <w:gridCol w:w="1874"/>
      </w:tblGrid>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Propriétés</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methode</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limite</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Unité</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Contenant thermique</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D6751</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118,952</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BTU/gallon</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Point d’éclair</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D93</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93 -130</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°C</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Teneur en eau et sédiment</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D2709</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0,050 max</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 Volume</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Viscosité cinématique à40°C</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D445</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1,9 – 6,0</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mm</w:t>
            </w:r>
            <w:r w:rsidRPr="007D7279">
              <w:rPr>
                <w:rFonts w:asciiTheme="majorBidi" w:hAnsiTheme="majorBidi" w:cstheme="majorBidi"/>
                <w:sz w:val="24"/>
                <w:szCs w:val="24"/>
                <w:vertAlign w:val="superscript"/>
              </w:rPr>
              <w:t>2</w:t>
            </w:r>
            <w:r w:rsidRPr="007D7279">
              <w:rPr>
                <w:rFonts w:asciiTheme="majorBidi" w:hAnsiTheme="majorBidi" w:cstheme="majorBidi"/>
                <w:sz w:val="24"/>
                <w:szCs w:val="24"/>
              </w:rPr>
              <w:t>/s</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Teneur en cendres sulfurique</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D874</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0,020 max</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 en Pds</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Teneur en soufre</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D5453</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0-2</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Ppm</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Corrosion lame de cuivre</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D130</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No.3 max</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Indice de cétane</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D613</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47 min</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Point de trouble</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D2500</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2</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°C</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Point d’écoulement</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 97</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0</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°C</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Résidu de carbone</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D4530</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0,050</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 en Pds</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Acidité</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D664</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0,80 max</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mg KOH/g</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Glycérine libre</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D6584</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0,020</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 en Pds</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Glycérine total</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D6584</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0,240</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  en Pds</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Phosphore</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D4951</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0,0010</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 en Pds</w:t>
            </w:r>
          </w:p>
        </w:tc>
      </w:tr>
      <w:tr w:rsidR="00656AC8" w:rsidRPr="007D7279" w:rsidTr="000B768D">
        <w:trPr>
          <w:jc w:val="center"/>
        </w:trPr>
        <w:tc>
          <w:tcPr>
            <w:tcW w:w="30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Distillation sous vide</w:t>
            </w:r>
          </w:p>
        </w:tc>
        <w:tc>
          <w:tcPr>
            <w:tcW w:w="2268"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ASTM D1160</w:t>
            </w:r>
          </w:p>
        </w:tc>
        <w:tc>
          <w:tcPr>
            <w:tcW w:w="1985"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360°C max,</w:t>
            </w:r>
          </w:p>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90% distillé</w:t>
            </w:r>
          </w:p>
        </w:tc>
        <w:tc>
          <w:tcPr>
            <w:tcW w:w="1874" w:type="dxa"/>
          </w:tcPr>
          <w:p w:rsidR="00656AC8" w:rsidRPr="007D7279" w:rsidRDefault="00656AC8" w:rsidP="00F80F9A">
            <w:pPr>
              <w:spacing w:line="360" w:lineRule="auto"/>
              <w:jc w:val="both"/>
              <w:rPr>
                <w:rFonts w:asciiTheme="majorBidi" w:hAnsiTheme="majorBidi" w:cstheme="majorBidi"/>
                <w:sz w:val="24"/>
                <w:szCs w:val="24"/>
              </w:rPr>
            </w:pPr>
            <w:r w:rsidRPr="007D7279">
              <w:rPr>
                <w:rFonts w:asciiTheme="majorBidi" w:hAnsiTheme="majorBidi" w:cstheme="majorBidi"/>
                <w:sz w:val="24"/>
                <w:szCs w:val="24"/>
              </w:rPr>
              <w:t>°C</w:t>
            </w:r>
          </w:p>
        </w:tc>
      </w:tr>
    </w:tbl>
    <w:p w:rsidR="00656AC8" w:rsidRPr="00841A6F" w:rsidRDefault="00656AC8" w:rsidP="000B768D">
      <w:pPr>
        <w:spacing w:line="360" w:lineRule="auto"/>
        <w:jc w:val="center"/>
        <w:rPr>
          <w:rFonts w:asciiTheme="majorBidi" w:hAnsiTheme="majorBidi" w:cstheme="majorBidi"/>
          <w:u w:val="single"/>
        </w:rPr>
      </w:pPr>
      <w:r w:rsidRPr="00745CB8">
        <w:rPr>
          <w:rFonts w:asciiTheme="majorBidi" w:hAnsiTheme="majorBidi" w:cstheme="majorBidi"/>
          <w:b/>
          <w:bCs/>
          <w:u w:val="single"/>
        </w:rPr>
        <w:t>Tableau.</w:t>
      </w:r>
      <w:r>
        <w:rPr>
          <w:rFonts w:asciiTheme="majorBidi" w:hAnsiTheme="majorBidi" w:cstheme="majorBidi"/>
          <w:b/>
          <w:bCs/>
          <w:u w:val="single"/>
        </w:rPr>
        <w:t>I.</w:t>
      </w:r>
      <w:r w:rsidRPr="00745CB8">
        <w:rPr>
          <w:rFonts w:asciiTheme="majorBidi" w:hAnsiTheme="majorBidi" w:cstheme="majorBidi"/>
          <w:b/>
          <w:bCs/>
          <w:u w:val="single"/>
        </w:rPr>
        <w:t xml:space="preserve">7.Spécification de biodiesel suivant les normes ASTM D6751 </w:t>
      </w:r>
      <w:r w:rsidRPr="00C96A2F">
        <w:rPr>
          <w:rFonts w:asciiTheme="majorBidi" w:hAnsiTheme="majorBidi" w:cstheme="majorBidi"/>
        </w:rPr>
        <w:t>[</w:t>
      </w:r>
      <w:r>
        <w:rPr>
          <w:rFonts w:asciiTheme="majorBidi" w:hAnsiTheme="majorBidi" w:cstheme="majorBidi"/>
        </w:rPr>
        <w:t>25</w:t>
      </w:r>
      <w:r w:rsidRPr="00C96A2F">
        <w:rPr>
          <w:rFonts w:asciiTheme="majorBidi" w:hAnsiTheme="majorBidi" w:cstheme="majorBidi"/>
        </w:rPr>
        <w:t>]</w:t>
      </w:r>
    </w:p>
    <w:p w:rsidR="00656AC8" w:rsidRPr="007D7279" w:rsidRDefault="00656AC8" w:rsidP="00F80F9A">
      <w:pPr>
        <w:autoSpaceDE w:val="0"/>
        <w:autoSpaceDN w:val="0"/>
        <w:adjustRightInd w:val="0"/>
        <w:jc w:val="both"/>
        <w:rPr>
          <w:rFonts w:ascii="Arial" w:hAnsi="Arial"/>
          <w:sz w:val="21"/>
          <w:szCs w:val="21"/>
        </w:rPr>
      </w:pPr>
    </w:p>
    <w:p w:rsidR="0098240B" w:rsidRDefault="0098240B" w:rsidP="00F80F9A">
      <w:pPr>
        <w:spacing w:line="360" w:lineRule="auto"/>
        <w:jc w:val="both"/>
        <w:rPr>
          <w:rFonts w:asciiTheme="majorBidi" w:hAnsiTheme="majorBidi" w:cstheme="majorBidi"/>
          <w:u w:val="single"/>
        </w:rPr>
      </w:pPr>
    </w:p>
    <w:p w:rsidR="0098240B" w:rsidRDefault="0098240B" w:rsidP="00F80F9A">
      <w:pPr>
        <w:spacing w:line="360" w:lineRule="auto"/>
        <w:jc w:val="both"/>
        <w:rPr>
          <w:rFonts w:asciiTheme="majorBidi" w:hAnsiTheme="majorBidi" w:cstheme="majorBidi"/>
          <w:u w:val="single"/>
        </w:rPr>
      </w:pPr>
    </w:p>
    <w:p w:rsidR="0098240B" w:rsidRDefault="0098240B" w:rsidP="00F80F9A">
      <w:pPr>
        <w:spacing w:line="360" w:lineRule="auto"/>
        <w:jc w:val="both"/>
        <w:rPr>
          <w:rFonts w:asciiTheme="majorBidi" w:hAnsiTheme="majorBidi" w:cstheme="majorBidi"/>
          <w:u w:val="single"/>
        </w:rPr>
      </w:pPr>
    </w:p>
    <w:p w:rsidR="00656AC8" w:rsidRPr="007D7279" w:rsidRDefault="00656AC8" w:rsidP="00F80F9A">
      <w:pPr>
        <w:spacing w:line="360" w:lineRule="auto"/>
        <w:jc w:val="both"/>
        <w:rPr>
          <w:rFonts w:asciiTheme="majorBidi" w:hAnsiTheme="majorBidi" w:cstheme="majorBidi"/>
          <w:u w:val="single"/>
        </w:rPr>
      </w:pPr>
      <w:r w:rsidRPr="00F531EB">
        <w:rPr>
          <w:rFonts w:asciiTheme="majorBidi" w:hAnsiTheme="majorBidi" w:cstheme="majorBidi"/>
          <w:b/>
          <w:bCs/>
        </w:rPr>
        <w:lastRenderedPageBreak/>
        <w:t>I.7.7. Les grands chiffres du biodiesel :</w:t>
      </w:r>
      <w:r>
        <w:rPr>
          <w:rFonts w:asciiTheme="majorBidi" w:hAnsiTheme="majorBidi" w:cstheme="majorBidi"/>
          <w:u w:val="single"/>
        </w:rPr>
        <w:t xml:space="preserve"> </w:t>
      </w:r>
      <w:r w:rsidRPr="00C96A2F">
        <w:rPr>
          <w:rFonts w:asciiTheme="majorBidi" w:hAnsiTheme="majorBidi" w:cstheme="majorBidi"/>
        </w:rPr>
        <w:t>[</w:t>
      </w:r>
      <w:r>
        <w:rPr>
          <w:rFonts w:asciiTheme="majorBidi" w:hAnsiTheme="majorBidi" w:cstheme="majorBidi"/>
        </w:rPr>
        <w:t>26</w:t>
      </w:r>
      <w:r w:rsidRPr="00C96A2F">
        <w:rPr>
          <w:rFonts w:asciiTheme="majorBidi" w:hAnsiTheme="majorBidi" w:cstheme="majorBidi"/>
        </w:rPr>
        <w:t>]</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 Pouvoir calorifique : 33.1 MJ/l (essence : 35.4 MJ/l)</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 xml:space="preserve">• Utilisation : Biodiesel (0-100%) mélangé à du </w:t>
      </w:r>
      <w:r>
        <w:rPr>
          <w:rFonts w:asciiTheme="majorBidi" w:hAnsiTheme="majorBidi" w:cstheme="majorBidi"/>
        </w:rPr>
        <w:t>D</w:t>
      </w:r>
      <w:r w:rsidRPr="007D7279">
        <w:rPr>
          <w:rFonts w:asciiTheme="majorBidi" w:hAnsiTheme="majorBidi" w:cstheme="majorBidi"/>
        </w:rPr>
        <w:t>iesel dans des moteurs traditionnels</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 Production mondiale (2000) : 650 millions de litres par an</w:t>
      </w:r>
    </w:p>
    <w:p w:rsidR="00656AC8" w:rsidRPr="00F531EB" w:rsidRDefault="00656AC8" w:rsidP="00F80F9A">
      <w:pPr>
        <w:autoSpaceDE w:val="0"/>
        <w:autoSpaceDN w:val="0"/>
        <w:adjustRightInd w:val="0"/>
        <w:spacing w:line="360" w:lineRule="auto"/>
        <w:jc w:val="both"/>
        <w:rPr>
          <w:rFonts w:asciiTheme="majorBidi" w:hAnsiTheme="majorBidi" w:cstheme="majorBidi"/>
          <w:b/>
          <w:bCs/>
        </w:rPr>
      </w:pPr>
      <w:r w:rsidRPr="00F531EB">
        <w:rPr>
          <w:rFonts w:asciiTheme="majorBidi" w:hAnsiTheme="majorBidi" w:cstheme="majorBidi"/>
          <w:b/>
          <w:bCs/>
        </w:rPr>
        <w:t>I.7.8. Producteur :</w:t>
      </w:r>
    </w:p>
    <w:p w:rsidR="00656AC8" w:rsidRPr="00745CB8" w:rsidRDefault="00656AC8" w:rsidP="00F80F9A">
      <w:pPr>
        <w:spacing w:line="360" w:lineRule="auto"/>
        <w:jc w:val="both"/>
        <w:rPr>
          <w:rFonts w:asciiTheme="majorBidi" w:hAnsiTheme="majorBidi" w:cstheme="majorBidi"/>
          <w:u w:val="single"/>
        </w:rPr>
      </w:pPr>
      <w:r w:rsidRPr="007D7279">
        <w:rPr>
          <w:rFonts w:asciiTheme="majorBidi" w:hAnsiTheme="majorBidi" w:cstheme="majorBidi"/>
        </w:rPr>
        <w:t xml:space="preserve">Les plus gros producteurs de </w:t>
      </w:r>
      <w:r w:rsidRPr="0098240B">
        <w:rPr>
          <w:rFonts w:asciiTheme="majorBidi" w:hAnsiTheme="majorBidi" w:cstheme="majorBidi"/>
        </w:rPr>
        <w:t xml:space="preserve">biodiesel sont les </w:t>
      </w:r>
      <w:hyperlink r:id="rId30" w:tooltip="États-Unis" w:history="1">
        <w:r w:rsidRPr="0098240B">
          <w:rPr>
            <w:rStyle w:val="Lienhypertexte"/>
            <w:rFonts w:asciiTheme="majorBidi" w:hAnsiTheme="majorBidi" w:cstheme="majorBidi"/>
            <w:color w:val="auto"/>
            <w:u w:val="none"/>
          </w:rPr>
          <w:t>États-Unis</w:t>
        </w:r>
      </w:hyperlink>
      <w:r w:rsidRPr="0098240B">
        <w:rPr>
          <w:rFonts w:asciiTheme="majorBidi" w:hAnsiTheme="majorBidi" w:cstheme="majorBidi"/>
        </w:rPr>
        <w:t>, l'</w:t>
      </w:r>
      <w:hyperlink r:id="rId31" w:tooltip="Allemagne" w:history="1">
        <w:r w:rsidRPr="0098240B">
          <w:rPr>
            <w:rStyle w:val="Lienhypertexte"/>
            <w:rFonts w:asciiTheme="majorBidi" w:hAnsiTheme="majorBidi" w:cstheme="majorBidi"/>
            <w:color w:val="auto"/>
            <w:u w:val="none"/>
          </w:rPr>
          <w:t>Allemagne</w:t>
        </w:r>
      </w:hyperlink>
      <w:r w:rsidRPr="0098240B">
        <w:rPr>
          <w:rFonts w:asciiTheme="majorBidi" w:hAnsiTheme="majorBidi" w:cstheme="majorBidi"/>
        </w:rPr>
        <w:t xml:space="preserve"> et la </w:t>
      </w:r>
      <w:hyperlink r:id="rId32" w:tooltip="France" w:history="1">
        <w:r w:rsidRPr="0098240B">
          <w:rPr>
            <w:rStyle w:val="Lienhypertexte"/>
            <w:rFonts w:asciiTheme="majorBidi" w:hAnsiTheme="majorBidi" w:cstheme="majorBidi"/>
            <w:color w:val="auto"/>
            <w:u w:val="none"/>
          </w:rPr>
          <w:t>France</w:t>
        </w:r>
      </w:hyperlink>
      <w:r w:rsidRPr="0098240B">
        <w:rPr>
          <w:rFonts w:asciiTheme="majorBidi" w:hAnsiTheme="majorBidi" w:cstheme="majorBidi"/>
        </w:rPr>
        <w:t xml:space="preserve">. Le département de l'énergie du gouvernement des États-Unis a publié plusieurs documents sur le biodiesel. Les USA outiennent aussi la recherche dans ce domaine via le « National Renewable Energy Laboratory ». En </w:t>
      </w:r>
      <w:hyperlink r:id="rId33" w:tooltip="Belgique" w:history="1">
        <w:r w:rsidRPr="0098240B">
          <w:rPr>
            <w:rStyle w:val="Lienhypertexte"/>
            <w:rFonts w:asciiTheme="majorBidi" w:hAnsiTheme="majorBidi" w:cstheme="majorBidi"/>
            <w:color w:val="auto"/>
            <w:u w:val="none"/>
          </w:rPr>
          <w:t>Belgique</w:t>
        </w:r>
      </w:hyperlink>
      <w:r w:rsidRPr="0098240B">
        <w:rPr>
          <w:rFonts w:asciiTheme="majorBidi" w:hAnsiTheme="majorBidi" w:cstheme="majorBidi"/>
        </w:rPr>
        <w:t xml:space="preserve">, les unités de production du biodiesel actives ou en phase de construction sont localisées à </w:t>
      </w:r>
      <w:hyperlink r:id="rId34" w:tooltip="Ertvelde" w:history="1">
        <w:r w:rsidRPr="0098240B">
          <w:rPr>
            <w:rStyle w:val="Lienhypertexte"/>
            <w:rFonts w:asciiTheme="majorBidi" w:hAnsiTheme="majorBidi" w:cstheme="majorBidi"/>
            <w:color w:val="auto"/>
            <w:u w:val="none"/>
          </w:rPr>
          <w:t>Ertvelde</w:t>
        </w:r>
      </w:hyperlink>
      <w:r w:rsidRPr="0098240B">
        <w:rPr>
          <w:rFonts w:asciiTheme="majorBidi" w:hAnsiTheme="majorBidi" w:cstheme="majorBidi"/>
        </w:rPr>
        <w:t xml:space="preserve"> (par Oleon), à </w:t>
      </w:r>
      <w:hyperlink r:id="rId35" w:tooltip="Feluy" w:history="1">
        <w:r w:rsidRPr="0098240B">
          <w:rPr>
            <w:rStyle w:val="Lienhypertexte"/>
            <w:rFonts w:asciiTheme="majorBidi" w:hAnsiTheme="majorBidi" w:cstheme="majorBidi"/>
            <w:color w:val="auto"/>
            <w:u w:val="none"/>
          </w:rPr>
          <w:t>Feluy</w:t>
        </w:r>
      </w:hyperlink>
      <w:r w:rsidRPr="0098240B">
        <w:rPr>
          <w:rFonts w:asciiTheme="majorBidi" w:hAnsiTheme="majorBidi" w:cstheme="majorBidi"/>
        </w:rPr>
        <w:t xml:space="preserve"> (par Neochim) et à </w:t>
      </w:r>
      <w:hyperlink r:id="rId36" w:tooltip="Wandre" w:history="1">
        <w:r w:rsidRPr="0098240B">
          <w:rPr>
            <w:rStyle w:val="Lienhypertexte"/>
            <w:rFonts w:asciiTheme="majorBidi" w:hAnsiTheme="majorBidi" w:cstheme="majorBidi"/>
            <w:color w:val="auto"/>
            <w:u w:val="none"/>
          </w:rPr>
          <w:t>Wandre</w:t>
        </w:r>
      </w:hyperlink>
      <w:r w:rsidRPr="0098240B">
        <w:rPr>
          <w:rFonts w:asciiTheme="majorBidi" w:hAnsiTheme="majorBidi" w:cstheme="majorBidi"/>
        </w:rPr>
        <w:t xml:space="preserve"> (par Biofuel). En France, le leader de la production de biodiesel est Diester Industrie qui détient des unités de production sur 7 sites industriels pour une capacité de production de 2 millions de tonnes de Diester en France. Ineos, Véolia et Saria sont également présents dans ce secteur. Le biodiesel est utilisé en mélange par les marchands de carburant. En 2007 le </w:t>
      </w:r>
      <w:hyperlink r:id="rId37" w:tooltip="Brésil" w:history="1">
        <w:r w:rsidRPr="0098240B">
          <w:rPr>
            <w:rStyle w:val="Lienhypertexte"/>
            <w:rFonts w:asciiTheme="majorBidi" w:hAnsiTheme="majorBidi" w:cstheme="majorBidi"/>
            <w:color w:val="auto"/>
            <w:u w:val="none"/>
          </w:rPr>
          <w:t>Brésil</w:t>
        </w:r>
      </w:hyperlink>
      <w:r w:rsidRPr="0098240B">
        <w:rPr>
          <w:rFonts w:asciiTheme="majorBidi" w:hAnsiTheme="majorBidi" w:cstheme="majorBidi"/>
        </w:rPr>
        <w:t xml:space="preserve"> et </w:t>
      </w:r>
      <w:hyperlink r:id="rId38" w:tooltip="L'Argentine" w:history="1">
        <w:r w:rsidRPr="0098240B">
          <w:rPr>
            <w:rStyle w:val="Lienhypertexte"/>
            <w:rFonts w:asciiTheme="majorBidi" w:hAnsiTheme="majorBidi" w:cstheme="majorBidi"/>
            <w:color w:val="auto"/>
            <w:u w:val="none"/>
          </w:rPr>
          <w:t>l'Argentine</w:t>
        </w:r>
      </w:hyperlink>
      <w:r w:rsidRPr="0098240B">
        <w:rPr>
          <w:rFonts w:asciiTheme="majorBidi" w:hAnsiTheme="majorBidi" w:cstheme="majorBidi"/>
        </w:rPr>
        <w:t xml:space="preserve"> - où le Colza </w:t>
      </w:r>
      <w:hyperlink r:id="rId39" w:tooltip="OGM" w:history="1">
        <w:r w:rsidRPr="0098240B">
          <w:rPr>
            <w:rStyle w:val="Lienhypertexte"/>
            <w:rFonts w:asciiTheme="majorBidi" w:hAnsiTheme="majorBidi" w:cstheme="majorBidi"/>
            <w:color w:val="auto"/>
            <w:u w:val="none"/>
          </w:rPr>
          <w:t>OGM</w:t>
        </w:r>
      </w:hyperlink>
      <w:r w:rsidRPr="0098240B">
        <w:rPr>
          <w:rFonts w:asciiTheme="majorBidi" w:hAnsiTheme="majorBidi" w:cstheme="majorBidi"/>
        </w:rPr>
        <w:t xml:space="preserve"> s'est fortement développé - visent le marché Européen. Trois unités de production sont inaugurées les huit premiers mois de l'année en Argentine, dont l'usine de l'huilerie Cincentin (24 000 tonnes/an) et 5 autres sont en cours de construction. L'Argentine pourrait ainsi passer de 200 000 t/an en </w:t>
      </w:r>
      <w:hyperlink r:id="rId40" w:tooltip="2007" w:history="1">
        <w:r w:rsidRPr="0098240B">
          <w:rPr>
            <w:rStyle w:val="Lienhypertexte"/>
            <w:rFonts w:asciiTheme="majorBidi" w:hAnsiTheme="majorBidi" w:cstheme="majorBidi"/>
            <w:color w:val="auto"/>
            <w:u w:val="none"/>
          </w:rPr>
          <w:t>2007</w:t>
        </w:r>
      </w:hyperlink>
      <w:r w:rsidRPr="0098240B">
        <w:rPr>
          <w:rFonts w:asciiTheme="majorBidi" w:hAnsiTheme="majorBidi" w:cstheme="majorBidi"/>
        </w:rPr>
        <w:t xml:space="preserve"> à 1 million de t/an en </w:t>
      </w:r>
      <w:hyperlink r:id="rId41" w:tooltip="2008" w:history="1">
        <w:r w:rsidRPr="0098240B">
          <w:rPr>
            <w:rStyle w:val="Lienhypertexte"/>
            <w:rFonts w:asciiTheme="majorBidi" w:hAnsiTheme="majorBidi" w:cstheme="majorBidi"/>
            <w:color w:val="auto"/>
            <w:u w:val="none"/>
          </w:rPr>
          <w:t>2008</w:t>
        </w:r>
      </w:hyperlink>
      <w:r w:rsidRPr="0098240B">
        <w:rPr>
          <w:rFonts w:asciiTheme="majorBidi" w:hAnsiTheme="majorBidi" w:cstheme="majorBidi"/>
        </w:rPr>
        <w:t>. [26,29]</w:t>
      </w:r>
    </w:p>
    <w:p w:rsidR="00656AC8" w:rsidRPr="00F531EB" w:rsidRDefault="00656AC8" w:rsidP="00F80F9A">
      <w:pPr>
        <w:autoSpaceDE w:val="0"/>
        <w:autoSpaceDN w:val="0"/>
        <w:adjustRightInd w:val="0"/>
        <w:spacing w:line="360" w:lineRule="auto"/>
        <w:jc w:val="both"/>
        <w:rPr>
          <w:rFonts w:asciiTheme="majorBidi" w:hAnsiTheme="majorBidi" w:cstheme="majorBidi"/>
          <w:b/>
          <w:bCs/>
        </w:rPr>
      </w:pPr>
      <w:r w:rsidRPr="00F531EB">
        <w:rPr>
          <w:rFonts w:asciiTheme="majorBidi" w:hAnsiTheme="majorBidi" w:cstheme="majorBidi"/>
          <w:b/>
          <w:bCs/>
        </w:rPr>
        <w:t>I.7.9. L'utilisation du biodiesel :</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 xml:space="preserve">De par ses caractéristiques physico-chimiques proches de celles du carburant </w:t>
      </w:r>
      <w:r>
        <w:rPr>
          <w:rFonts w:asciiTheme="majorBidi" w:hAnsiTheme="majorBidi" w:cstheme="majorBidi"/>
        </w:rPr>
        <w:t>D</w:t>
      </w:r>
      <w:r w:rsidRPr="007D7279">
        <w:rPr>
          <w:rFonts w:asciiTheme="majorBidi" w:hAnsiTheme="majorBidi" w:cstheme="majorBidi"/>
        </w:rPr>
        <w:t>iesel d’origine pétrolière, l’utilisation du biodiesel ne pose pas de problèmes majeurs et ne nécessite en principe aucune modification du moteur, si ce n’est éventuellement le remplacement de certains joints. Le biodiesel est en effet un excellent solvant et pourrait de ce fait endommager certains joints en caoutchouc naturel ou autres mousses de polyuréthane. Il peut également éventuellement endommager certaines peintures. Mais la question principale est plutôt d’ordre stratégique et de marketing de la part des constructeurs automobiles. Sans la pression du marché, en effet, ces derniers n’ont aucun avantage à donner plus de garanties que nécessaire. De plus, la stratégie appliquée par différents pays pour introduire ce biocarburant reflète toujours la politique des constructeurs de véhicules locaux.</w:t>
      </w:r>
    </w:p>
    <w:p w:rsidR="00656AC8" w:rsidRPr="00745CB8" w:rsidRDefault="00656AC8" w:rsidP="00F80F9A">
      <w:pPr>
        <w:spacing w:line="360" w:lineRule="auto"/>
        <w:jc w:val="both"/>
        <w:rPr>
          <w:rFonts w:asciiTheme="majorBidi" w:hAnsiTheme="majorBidi" w:cstheme="majorBidi"/>
          <w:u w:val="single"/>
        </w:rPr>
      </w:pPr>
      <w:r w:rsidRPr="007D7279">
        <w:rPr>
          <w:rFonts w:asciiTheme="majorBidi" w:hAnsiTheme="majorBidi" w:cstheme="majorBidi"/>
        </w:rPr>
        <w:t xml:space="preserve">En France, par exemple, deux cas de figures sont actuellement appliqués. Dans le premier cas, le biodiesel est utilisé en mélange avec du </w:t>
      </w:r>
      <w:r>
        <w:rPr>
          <w:rFonts w:asciiTheme="majorBidi" w:hAnsiTheme="majorBidi" w:cstheme="majorBidi"/>
        </w:rPr>
        <w:t>D</w:t>
      </w:r>
      <w:r w:rsidRPr="007D7279">
        <w:rPr>
          <w:rFonts w:asciiTheme="majorBidi" w:hAnsiTheme="majorBidi" w:cstheme="majorBidi"/>
        </w:rPr>
        <w:t>iesel d’origine fossile, à faible taux, c’est à dire jusqu’à 5%. Cette façon de procéder offre l’avantage d’améliorer la capacité lubrifiante du mélange, ce qui devient un problème avec la limi</w:t>
      </w:r>
      <w:r>
        <w:rPr>
          <w:rFonts w:asciiTheme="majorBidi" w:hAnsiTheme="majorBidi" w:cstheme="majorBidi"/>
        </w:rPr>
        <w:t>tation drastique du taux de sou</w:t>
      </w:r>
      <w:r w:rsidRPr="007D7279">
        <w:rPr>
          <w:rFonts w:asciiTheme="majorBidi" w:hAnsiTheme="majorBidi" w:cstheme="majorBidi"/>
        </w:rPr>
        <w:t xml:space="preserve">fre dans le </w:t>
      </w:r>
      <w:r>
        <w:rPr>
          <w:rFonts w:asciiTheme="majorBidi" w:hAnsiTheme="majorBidi" w:cstheme="majorBidi"/>
        </w:rPr>
        <w:t>Diesel (le souf</w:t>
      </w:r>
      <w:r w:rsidRPr="007D7279">
        <w:rPr>
          <w:rFonts w:asciiTheme="majorBidi" w:hAnsiTheme="majorBidi" w:cstheme="majorBidi"/>
        </w:rPr>
        <w:t xml:space="preserve">re étant un excellent lubrifiant). La France utilise également le biodiesel </w:t>
      </w:r>
      <w:r w:rsidRPr="007D7279">
        <w:rPr>
          <w:rFonts w:asciiTheme="majorBidi" w:hAnsiTheme="majorBidi" w:cstheme="majorBidi"/>
        </w:rPr>
        <w:lastRenderedPageBreak/>
        <w:t>comme co-carburant avec un taux de mélange de l’ordre de 30 % mais uniquement pour des flottes captives, essentiellement urbaines. La justification de cette seconde manière de procéder est l’amélioration de la qualité de l’air, essentiellement liée à une forte réduction des émissions de particules.</w:t>
      </w:r>
      <w:r w:rsidRPr="00745CB8">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27,28</w:t>
      </w:r>
      <w:r w:rsidRPr="00C96A2F">
        <w:rPr>
          <w:rFonts w:asciiTheme="majorBidi" w:hAnsiTheme="majorBidi" w:cstheme="majorBidi"/>
        </w:rPr>
        <w:t>]</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En Autriche, en Allemagne, mais également en Suisse, le biodiesel est aussi utilisé pur. Comme il n’est pas limité uniquement aux flottes captives,</w:t>
      </w:r>
      <w:r>
        <w:rPr>
          <w:rFonts w:asciiTheme="majorBidi" w:hAnsiTheme="majorBidi" w:cstheme="majorBidi"/>
        </w:rPr>
        <w:t xml:space="preserve"> il</w:t>
      </w:r>
      <w:r w:rsidRPr="007D7279">
        <w:rPr>
          <w:rFonts w:asciiTheme="majorBidi" w:hAnsiTheme="majorBidi" w:cstheme="majorBidi"/>
        </w:rPr>
        <w:t xml:space="preserve"> se pose cependant le problème de la garantie de la part des distributeurs de carburants et des constructeurs. A l’origine, le biodiesel avait été prévu pour être utilisé « en circuit fermé », c’est à dire directement par les agriculteurs utilisant leur propre colza à cet effet.</w:t>
      </w:r>
    </w:p>
    <w:p w:rsidR="00656AC8" w:rsidRPr="00F531EB" w:rsidRDefault="00656AC8" w:rsidP="00F80F9A">
      <w:pPr>
        <w:spacing w:before="100" w:beforeAutospacing="1" w:after="100" w:afterAutospacing="1" w:line="360" w:lineRule="auto"/>
        <w:jc w:val="both"/>
        <w:rPr>
          <w:rFonts w:asciiTheme="majorBidi" w:hAnsiTheme="majorBidi" w:cstheme="majorBidi"/>
          <w:b/>
          <w:bCs/>
        </w:rPr>
      </w:pPr>
      <w:r w:rsidRPr="00F531EB">
        <w:rPr>
          <w:rFonts w:asciiTheme="majorBidi" w:hAnsiTheme="majorBidi" w:cstheme="majorBidi"/>
          <w:b/>
          <w:bCs/>
        </w:rPr>
        <w:t>I.7.10. L’intérêt du biodiesel :</w:t>
      </w:r>
    </w:p>
    <w:p w:rsidR="00656AC8" w:rsidRPr="00745CB8" w:rsidRDefault="00656AC8" w:rsidP="00F80F9A">
      <w:pPr>
        <w:spacing w:line="360" w:lineRule="auto"/>
        <w:jc w:val="both"/>
        <w:rPr>
          <w:rFonts w:asciiTheme="majorBidi" w:hAnsiTheme="majorBidi" w:cstheme="majorBidi"/>
          <w:u w:val="single"/>
        </w:rPr>
      </w:pPr>
      <w:r w:rsidRPr="007D7279">
        <w:rPr>
          <w:rFonts w:asciiTheme="majorBidi" w:hAnsiTheme="majorBidi" w:cstheme="majorBidi"/>
        </w:rPr>
        <w:t xml:space="preserve">Le principal intérêt revendiqué par le biodiesel est de ne pas être une </w:t>
      </w:r>
      <w:hyperlink r:id="rId42" w:tooltip="Énergie fossile" w:history="1">
        <w:r w:rsidRPr="007D7279">
          <w:rPr>
            <w:rFonts w:asciiTheme="majorBidi" w:hAnsiTheme="majorBidi" w:cstheme="majorBidi"/>
          </w:rPr>
          <w:t>énergie fossile</w:t>
        </w:r>
      </w:hyperlink>
      <w:r w:rsidRPr="007D7279">
        <w:rPr>
          <w:rFonts w:asciiTheme="majorBidi" w:hAnsiTheme="majorBidi" w:cstheme="majorBidi"/>
        </w:rPr>
        <w:t xml:space="preserve"> et de fournir une </w:t>
      </w:r>
      <w:hyperlink r:id="rId43" w:tooltip="Énergie renouvelable" w:history="1">
        <w:r w:rsidRPr="007D7279">
          <w:rPr>
            <w:rFonts w:asciiTheme="majorBidi" w:hAnsiTheme="majorBidi" w:cstheme="majorBidi"/>
          </w:rPr>
          <w:t>énergie renouvelable</w:t>
        </w:r>
      </w:hyperlink>
      <w:r w:rsidRPr="007D7279">
        <w:rPr>
          <w:rFonts w:asciiTheme="majorBidi" w:hAnsiTheme="majorBidi" w:cstheme="majorBidi"/>
        </w:rPr>
        <w:t xml:space="preserve"> (l'</w:t>
      </w:r>
      <w:hyperlink r:id="rId44" w:tooltip="Huile végétale brute" w:history="1">
        <w:r w:rsidRPr="007D7279">
          <w:rPr>
            <w:rFonts w:asciiTheme="majorBidi" w:hAnsiTheme="majorBidi" w:cstheme="majorBidi"/>
          </w:rPr>
          <w:t>huile végétale brute</w:t>
        </w:r>
      </w:hyperlink>
      <w:r w:rsidRPr="007D7279">
        <w:rPr>
          <w:rFonts w:asciiTheme="majorBidi" w:hAnsiTheme="majorBidi" w:cstheme="majorBidi"/>
        </w:rPr>
        <w:t xml:space="preserve">) contribuant très peu à l'augmentation du taux de </w:t>
      </w:r>
      <w:hyperlink r:id="rId45" w:tooltip="Dioxyde de carbone" w:history="1">
        <w:r w:rsidRPr="007D7279">
          <w:rPr>
            <w:rFonts w:asciiTheme="majorBidi" w:hAnsiTheme="majorBidi" w:cstheme="majorBidi"/>
          </w:rPr>
          <w:t>CO</w:t>
        </w:r>
        <w:r w:rsidRPr="007D7279">
          <w:rPr>
            <w:rFonts w:asciiTheme="majorBidi" w:hAnsiTheme="majorBidi" w:cstheme="majorBidi"/>
            <w:vertAlign w:val="subscript"/>
          </w:rPr>
          <w:t>2</w:t>
        </w:r>
      </w:hyperlink>
      <w:r w:rsidRPr="007D7279">
        <w:rPr>
          <w:rFonts w:asciiTheme="majorBidi" w:hAnsiTheme="majorBidi" w:cstheme="majorBidi"/>
        </w:rPr>
        <w:t xml:space="preserve"> présent dans l'atmosphère. En effet, en théorie, la plante, durant sa croissance, consomme par </w:t>
      </w:r>
      <w:hyperlink r:id="rId46" w:tooltip="Photosynthèse" w:history="1">
        <w:r w:rsidRPr="007D7279">
          <w:rPr>
            <w:rFonts w:asciiTheme="majorBidi" w:hAnsiTheme="majorBidi" w:cstheme="majorBidi"/>
          </w:rPr>
          <w:t>photosynthèse</w:t>
        </w:r>
      </w:hyperlink>
      <w:r w:rsidRPr="007D7279">
        <w:rPr>
          <w:rFonts w:asciiTheme="majorBidi" w:hAnsiTheme="majorBidi" w:cstheme="majorBidi"/>
        </w:rPr>
        <w:t xml:space="preserve"> la quantité exacte de dioxyde de carbone qui sera dégagée lors</w:t>
      </w:r>
      <w:r>
        <w:rPr>
          <w:rFonts w:asciiTheme="majorBidi" w:hAnsiTheme="majorBidi" w:cstheme="majorBidi"/>
        </w:rPr>
        <w:t xml:space="preserve"> de</w:t>
      </w:r>
      <w:r w:rsidRPr="007D7279">
        <w:rPr>
          <w:rFonts w:asciiTheme="majorBidi" w:hAnsiTheme="majorBidi" w:cstheme="majorBidi"/>
        </w:rPr>
        <w:t xml:space="preserve"> la combustion du carburant. Cependant, pour bien maîtriser la valeur écologique d'un carburant, il faut pre</w:t>
      </w:r>
      <w:r>
        <w:rPr>
          <w:rFonts w:asciiTheme="majorBidi" w:hAnsiTheme="majorBidi" w:cstheme="majorBidi"/>
        </w:rPr>
        <w:t xml:space="preserve">ndre en compte son </w:t>
      </w:r>
      <w:r w:rsidRPr="007D7279">
        <w:rPr>
          <w:rFonts w:asciiTheme="majorBidi" w:hAnsiTheme="majorBidi" w:cstheme="majorBidi"/>
        </w:rPr>
        <w:t>bilan</w:t>
      </w:r>
      <w:r>
        <w:rPr>
          <w:rFonts w:asciiTheme="majorBidi" w:hAnsiTheme="majorBidi" w:cstheme="majorBidi"/>
        </w:rPr>
        <w:t xml:space="preserve"> économique</w:t>
      </w:r>
      <w:r w:rsidRPr="007D7279">
        <w:rPr>
          <w:rFonts w:asciiTheme="majorBidi" w:hAnsiTheme="majorBidi" w:cstheme="majorBidi"/>
        </w:rPr>
        <w:t>, et donc tout son processus de fabrication, incluant la culture et ses intrants (engrais notamment), l'</w:t>
      </w:r>
      <w:hyperlink r:id="rId47" w:tooltip="Empreinte écologique" w:history="1">
        <w:r w:rsidRPr="007D7279">
          <w:rPr>
            <w:rFonts w:asciiTheme="majorBidi" w:hAnsiTheme="majorBidi" w:cstheme="majorBidi"/>
          </w:rPr>
          <w:t>empreinte écologique</w:t>
        </w:r>
      </w:hyperlink>
      <w:r w:rsidRPr="007D7279">
        <w:rPr>
          <w:rFonts w:asciiTheme="majorBidi" w:hAnsiTheme="majorBidi" w:cstheme="majorBidi"/>
        </w:rPr>
        <w:t xml:space="preserve"> et l'</w:t>
      </w:r>
      <w:hyperlink r:id="rId48" w:tooltip="Efficacité énergétique" w:history="1">
        <w:r w:rsidRPr="007D7279">
          <w:rPr>
            <w:rFonts w:asciiTheme="majorBidi" w:hAnsiTheme="majorBidi" w:cstheme="majorBidi"/>
          </w:rPr>
          <w:t>efficacité énergétique</w:t>
        </w:r>
      </w:hyperlink>
      <w:r w:rsidRPr="007D7279">
        <w:rPr>
          <w:rFonts w:asciiTheme="majorBidi" w:hAnsiTheme="majorBidi" w:cstheme="majorBidi"/>
        </w:rPr>
        <w:t xml:space="preserve"> des processus de transformation et des transports du producteur au consommateur final et faire le </w:t>
      </w:r>
      <w:hyperlink r:id="rId49" w:tooltip="Efficacité énergétique" w:history="1">
        <w:r w:rsidRPr="007D7279">
          <w:rPr>
            <w:rFonts w:asciiTheme="majorBidi" w:hAnsiTheme="majorBidi" w:cstheme="majorBidi"/>
          </w:rPr>
          <w:t>bilan énergétique global</w:t>
        </w:r>
      </w:hyperlink>
      <w:r w:rsidRPr="007D7279">
        <w:rPr>
          <w:rFonts w:asciiTheme="majorBidi" w:hAnsiTheme="majorBidi" w:cstheme="majorBidi"/>
        </w:rPr>
        <w:t xml:space="preserve">. Le biodiesel nécessite un apport énergétique pour accélérer le processus d'estérification et doit être traité dans des raffineries spécialisées avant d'être livré aux consommateurs, ce qui dégrade légèrement son </w:t>
      </w:r>
      <w:hyperlink r:id="rId50" w:tooltip="Efficacité énergétique" w:history="1">
        <w:r w:rsidRPr="007D7279">
          <w:rPr>
            <w:rFonts w:asciiTheme="majorBidi" w:hAnsiTheme="majorBidi" w:cstheme="majorBidi"/>
          </w:rPr>
          <w:t>efficacité énergétique</w:t>
        </w:r>
      </w:hyperlink>
      <w:r w:rsidRPr="007D7279">
        <w:rPr>
          <w:rFonts w:asciiTheme="majorBidi" w:hAnsiTheme="majorBidi" w:cstheme="majorBidi"/>
        </w:rPr>
        <w:t xml:space="preserve"> en particulier face à l'</w:t>
      </w:r>
      <w:hyperlink r:id="rId51" w:tooltip="Huile végétale carburant" w:history="1">
        <w:r w:rsidRPr="007D7279">
          <w:rPr>
            <w:rFonts w:asciiTheme="majorBidi" w:hAnsiTheme="majorBidi" w:cstheme="majorBidi"/>
          </w:rPr>
          <w:t>huile végétale carburant</w:t>
        </w:r>
      </w:hyperlink>
      <w:r w:rsidRPr="007D7279">
        <w:rPr>
          <w:rFonts w:asciiTheme="majorBidi" w:hAnsiTheme="majorBidi" w:cstheme="majorBidi"/>
        </w:rPr>
        <w:t xml:space="preserve">, mais le rend compatible avec l'ensemble des motorisations </w:t>
      </w:r>
      <w:r>
        <w:rPr>
          <w:rFonts w:asciiTheme="majorBidi" w:hAnsiTheme="majorBidi" w:cstheme="majorBidi"/>
        </w:rPr>
        <w:t>D</w:t>
      </w:r>
      <w:r w:rsidRPr="007D7279">
        <w:rPr>
          <w:rFonts w:asciiTheme="majorBidi" w:hAnsiTheme="majorBidi" w:cstheme="majorBidi"/>
        </w:rPr>
        <w:t>iesel. Le biodiesel peut-être utilisé sans être mélangé au gazole  mais cette utilisation nécessite l'emploi de joints particuliers dans les moteurs. En pratique, le biodiesel est mélangé à des taux de 5 % (B5) à 30% (B30) qui ne nécessitent aucune adaptation des moteurs.</w:t>
      </w:r>
      <w:r w:rsidRPr="00745CB8">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28</w:t>
      </w:r>
      <w:r w:rsidRPr="00C96A2F">
        <w:rPr>
          <w:rFonts w:asciiTheme="majorBidi" w:hAnsiTheme="majorBidi" w:cstheme="majorBidi"/>
        </w:rPr>
        <w:t>]</w:t>
      </w:r>
    </w:p>
    <w:p w:rsidR="00656AC8" w:rsidRPr="00634E5D" w:rsidRDefault="00656AC8" w:rsidP="00F80F9A">
      <w:pPr>
        <w:spacing w:before="100" w:beforeAutospacing="1" w:after="100" w:afterAutospacing="1" w:line="360" w:lineRule="auto"/>
        <w:jc w:val="both"/>
        <w:rPr>
          <w:rFonts w:asciiTheme="majorBidi" w:hAnsiTheme="majorBidi" w:cstheme="majorBidi"/>
        </w:rPr>
      </w:pPr>
      <w:r w:rsidRPr="007D7279">
        <w:rPr>
          <w:rFonts w:asciiTheme="majorBidi" w:hAnsiTheme="majorBidi" w:cstheme="majorBidi"/>
        </w:rPr>
        <w:t xml:space="preserve">Certains soulignent des risques qui n'ont pas initialement été pris en compte. Il ne faudrait pas que la production de biocarburants se fasse au prix d'une déforestation massive comme au Brésil, ce qui, au contraire de l'effet recherché, augmenterait les émissions de gaz à effet de serre. De plus, les espaces cultivés privent les pays de sols pour l'agriculture alimentaire, en faisant monter les prix des </w:t>
      </w:r>
      <w:r>
        <w:rPr>
          <w:rFonts w:asciiTheme="majorBidi" w:hAnsiTheme="majorBidi" w:cstheme="majorBidi"/>
        </w:rPr>
        <w:t>céréales ou du maïs alimentaire</w:t>
      </w:r>
      <w:r w:rsidRPr="007D7279">
        <w:rPr>
          <w:rFonts w:asciiTheme="majorBidi" w:hAnsiTheme="majorBidi" w:cstheme="majorBidi"/>
        </w:rPr>
        <w:t xml:space="preserve"> (ces cultures étant utilisées pour produire de l'éthanol, un autre biocarburant). En Europe, où la production de biodiesel est essentiellement issue de la culture du colza, sans qu'il y ait de déforestation, cette production a </w:t>
      </w:r>
      <w:r w:rsidRPr="007D7279">
        <w:rPr>
          <w:rFonts w:asciiTheme="majorBidi" w:hAnsiTheme="majorBidi" w:cstheme="majorBidi"/>
        </w:rPr>
        <w:lastRenderedPageBreak/>
        <w:t>un avantage : la production simultanée de protéines végétales pour l'alimentation animale. L</w:t>
      </w:r>
      <w:r>
        <w:rPr>
          <w:rFonts w:asciiTheme="majorBidi" w:hAnsiTheme="majorBidi" w:cstheme="majorBidi"/>
        </w:rPr>
        <w:t>e développement des biodiesels E</w:t>
      </w:r>
      <w:r w:rsidRPr="007D7279">
        <w:rPr>
          <w:rFonts w:asciiTheme="majorBidi" w:hAnsiTheme="majorBidi" w:cstheme="majorBidi"/>
        </w:rPr>
        <w:t>uropéens a ainsi permis d'accroitre la production de protéines végétales locales qui remplacent une partie des importations de soja.</w:t>
      </w:r>
      <w:r w:rsidRPr="00D73DA8">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29,30</w:t>
      </w:r>
      <w:r w:rsidRPr="00C96A2F">
        <w:rPr>
          <w:rFonts w:asciiTheme="majorBidi" w:hAnsiTheme="majorBidi" w:cstheme="majorBidi"/>
        </w:rPr>
        <w:t>]</w:t>
      </w:r>
    </w:p>
    <w:p w:rsidR="00656AC8" w:rsidRPr="007D7279" w:rsidRDefault="00656AC8" w:rsidP="00F80F9A">
      <w:pPr>
        <w:spacing w:line="360" w:lineRule="auto"/>
        <w:jc w:val="both"/>
        <w:rPr>
          <w:rFonts w:asciiTheme="majorBidi" w:hAnsiTheme="majorBidi" w:cstheme="majorBidi"/>
          <w:u w:val="single"/>
        </w:rPr>
      </w:pPr>
      <w:r w:rsidRPr="00F531EB">
        <w:rPr>
          <w:rFonts w:asciiTheme="majorBidi" w:hAnsiTheme="majorBidi" w:cstheme="majorBidi"/>
          <w:b/>
          <w:bCs/>
        </w:rPr>
        <w:t>I.7.11. Les grands bénéfices pour l'environnement :</w:t>
      </w:r>
      <w:r w:rsidRPr="00F531EB">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30</w:t>
      </w:r>
      <w:r w:rsidRPr="00C96A2F">
        <w:rPr>
          <w:rFonts w:asciiTheme="majorBidi" w:hAnsiTheme="majorBidi" w:cstheme="majorBidi"/>
        </w:rPr>
        <w:t>]</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 xml:space="preserve">La réduction de la consommation d'énergie primaire non renouvelable représente une économie allant de 0.5 à 0.9 litre de pétrole par litre de biodiesel incorporé au </w:t>
      </w:r>
      <w:r>
        <w:rPr>
          <w:rFonts w:asciiTheme="majorBidi" w:hAnsiTheme="majorBidi" w:cstheme="majorBidi"/>
        </w:rPr>
        <w:t>D</w:t>
      </w:r>
      <w:r w:rsidRPr="007D7279">
        <w:rPr>
          <w:rFonts w:asciiTheme="majorBidi" w:hAnsiTheme="majorBidi" w:cstheme="majorBidi"/>
        </w:rPr>
        <w:t>iesel conventionnel, à prestation équivalente.</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De manière similaire, la réduction des émissions de gaz à effet de serre représente une économie allant de 1.0 à 2.5 kg CO</w:t>
      </w:r>
      <w:r w:rsidRPr="008F2848">
        <w:rPr>
          <w:rFonts w:asciiTheme="majorBidi" w:hAnsiTheme="majorBidi" w:cstheme="majorBidi"/>
          <w:vertAlign w:val="subscript"/>
        </w:rPr>
        <w:t xml:space="preserve">2 </w:t>
      </w:r>
      <w:r w:rsidRPr="007D7279">
        <w:rPr>
          <w:rFonts w:asciiTheme="majorBidi" w:hAnsiTheme="majorBidi" w:cstheme="majorBidi"/>
        </w:rPr>
        <w:t xml:space="preserve">eq. </w:t>
      </w:r>
      <w:r>
        <w:rPr>
          <w:rFonts w:asciiTheme="majorBidi" w:hAnsiTheme="majorBidi" w:cstheme="majorBidi"/>
        </w:rPr>
        <w:t>p</w:t>
      </w:r>
      <w:r w:rsidRPr="007D7279">
        <w:rPr>
          <w:rFonts w:asciiTheme="majorBidi" w:hAnsiTheme="majorBidi" w:cstheme="majorBidi"/>
        </w:rPr>
        <w:t xml:space="preserve">ar litre de biodiesel incorporé au </w:t>
      </w:r>
      <w:r>
        <w:rPr>
          <w:rFonts w:asciiTheme="majorBidi" w:hAnsiTheme="majorBidi" w:cstheme="majorBidi"/>
        </w:rPr>
        <w:t>D</w:t>
      </w:r>
      <w:r w:rsidRPr="007D7279">
        <w:rPr>
          <w:rFonts w:asciiTheme="majorBidi" w:hAnsiTheme="majorBidi" w:cstheme="majorBidi"/>
        </w:rPr>
        <w:t>iesel conventionnel, à prestation équivalente.</w:t>
      </w:r>
    </w:p>
    <w:p w:rsidR="00656AC8" w:rsidRPr="007D7279" w:rsidRDefault="00656AC8" w:rsidP="00F80F9A">
      <w:pPr>
        <w:autoSpaceDE w:val="0"/>
        <w:autoSpaceDN w:val="0"/>
        <w:adjustRightInd w:val="0"/>
        <w:spacing w:line="360" w:lineRule="auto"/>
        <w:jc w:val="both"/>
        <w:rPr>
          <w:rFonts w:asciiTheme="majorBidi" w:hAnsiTheme="majorBidi" w:cstheme="majorBidi"/>
        </w:rPr>
      </w:pPr>
      <w:r w:rsidRPr="007D7279">
        <w:rPr>
          <w:rFonts w:asciiTheme="majorBidi" w:hAnsiTheme="majorBidi" w:cstheme="majorBidi"/>
        </w:rPr>
        <w:t>Par ailleurs, l'utilisation d</w:t>
      </w:r>
      <w:r>
        <w:rPr>
          <w:rFonts w:asciiTheme="majorBidi" w:hAnsiTheme="majorBidi" w:cstheme="majorBidi"/>
        </w:rPr>
        <w:t>u</w:t>
      </w:r>
      <w:r w:rsidRPr="007D7279">
        <w:rPr>
          <w:rFonts w:asciiTheme="majorBidi" w:hAnsiTheme="majorBidi" w:cstheme="majorBidi"/>
        </w:rPr>
        <w:t xml:space="preserve"> biodiesel (absent de toute trace de soufre) se traduit par une réduction des émissions de SO</w:t>
      </w:r>
      <w:r w:rsidRPr="008F2848">
        <w:rPr>
          <w:rFonts w:asciiTheme="majorBidi" w:hAnsiTheme="majorBidi" w:cstheme="majorBidi"/>
          <w:vertAlign w:val="subscript"/>
        </w:rPr>
        <w:t>x</w:t>
      </w:r>
      <w:r w:rsidRPr="007D7279">
        <w:rPr>
          <w:rFonts w:asciiTheme="majorBidi" w:hAnsiTheme="majorBidi" w:cstheme="majorBidi"/>
        </w:rPr>
        <w:t xml:space="preserve">, proportionnelle au taux d'incorporation dans le </w:t>
      </w:r>
      <w:r>
        <w:rPr>
          <w:rFonts w:asciiTheme="majorBidi" w:hAnsiTheme="majorBidi" w:cstheme="majorBidi"/>
        </w:rPr>
        <w:t>D</w:t>
      </w:r>
      <w:r w:rsidRPr="007D7279">
        <w:rPr>
          <w:rFonts w:asciiTheme="majorBidi" w:hAnsiTheme="majorBidi" w:cstheme="majorBidi"/>
        </w:rPr>
        <w:t>iesel.</w:t>
      </w:r>
    </w:p>
    <w:p w:rsidR="00656AC8" w:rsidRPr="00F531EB" w:rsidRDefault="00656AC8" w:rsidP="00F80F9A">
      <w:pPr>
        <w:spacing w:line="360" w:lineRule="auto"/>
        <w:jc w:val="both"/>
        <w:rPr>
          <w:rFonts w:asciiTheme="majorBidi" w:hAnsiTheme="majorBidi" w:cstheme="majorBidi"/>
          <w:b/>
          <w:bCs/>
          <w:sz w:val="28"/>
          <w:szCs w:val="28"/>
        </w:rPr>
      </w:pPr>
      <w:r w:rsidRPr="00F531EB">
        <w:rPr>
          <w:rFonts w:asciiTheme="majorBidi" w:hAnsiTheme="majorBidi" w:cstheme="majorBidi"/>
          <w:b/>
          <w:bCs/>
          <w:sz w:val="28"/>
          <w:szCs w:val="28"/>
        </w:rPr>
        <w:t>I.8. Production et consommation du gasoil en Algérie :</w:t>
      </w:r>
    </w:p>
    <w:p w:rsidR="00656AC8" w:rsidRPr="0002370B" w:rsidRDefault="00656AC8" w:rsidP="00F80F9A">
      <w:pPr>
        <w:autoSpaceDE w:val="0"/>
        <w:autoSpaceDN w:val="0"/>
        <w:adjustRightInd w:val="0"/>
        <w:spacing w:line="360" w:lineRule="auto"/>
        <w:jc w:val="both"/>
        <w:rPr>
          <w:rFonts w:asciiTheme="majorBidi" w:hAnsiTheme="majorBidi" w:cstheme="majorBidi"/>
          <w:color w:val="000000"/>
        </w:rPr>
      </w:pPr>
      <w:r w:rsidRPr="0002370B">
        <w:rPr>
          <w:rFonts w:asciiTheme="majorBidi" w:hAnsiTheme="majorBidi" w:cstheme="majorBidi"/>
          <w:color w:val="000000"/>
        </w:rPr>
        <w:t>Cette hausse pose incontestablement la question du déséquilibre entre l'offre, compte tenu des</w:t>
      </w:r>
      <w:r>
        <w:rPr>
          <w:rFonts w:asciiTheme="majorBidi" w:hAnsiTheme="majorBidi" w:cstheme="majorBidi"/>
          <w:color w:val="000000"/>
        </w:rPr>
        <w:t xml:space="preserve"> </w:t>
      </w:r>
      <w:r w:rsidRPr="0002370B">
        <w:rPr>
          <w:rFonts w:asciiTheme="majorBidi" w:hAnsiTheme="majorBidi" w:cstheme="majorBidi"/>
          <w:color w:val="000000"/>
        </w:rPr>
        <w:t>volumes à mobiliser, et de la structure de la demande qui sera difficile à satisfaire. Devant cette</w:t>
      </w:r>
      <w:r>
        <w:rPr>
          <w:rFonts w:asciiTheme="majorBidi" w:hAnsiTheme="majorBidi" w:cstheme="majorBidi"/>
          <w:color w:val="000000"/>
        </w:rPr>
        <w:t xml:space="preserve"> </w:t>
      </w:r>
      <w:r w:rsidRPr="0002370B">
        <w:rPr>
          <w:rFonts w:asciiTheme="majorBidi" w:hAnsiTheme="majorBidi" w:cstheme="majorBidi"/>
          <w:color w:val="000000"/>
        </w:rPr>
        <w:t>situation, les pouvoirs publics ont recours à l'importation. Pour comprendre les tenants et</w:t>
      </w:r>
      <w:r>
        <w:rPr>
          <w:rFonts w:asciiTheme="majorBidi" w:hAnsiTheme="majorBidi" w:cstheme="majorBidi"/>
          <w:color w:val="000000"/>
        </w:rPr>
        <w:t xml:space="preserve"> </w:t>
      </w:r>
      <w:r w:rsidRPr="0002370B">
        <w:rPr>
          <w:rFonts w:asciiTheme="majorBidi" w:hAnsiTheme="majorBidi" w:cstheme="majorBidi"/>
          <w:color w:val="000000"/>
        </w:rPr>
        <w:t>aboutissants de cette équation, il est utile de rappeler que l'outil de raffinage est composé</w:t>
      </w:r>
      <w:r>
        <w:rPr>
          <w:rFonts w:asciiTheme="majorBidi" w:hAnsiTheme="majorBidi" w:cstheme="majorBidi"/>
          <w:color w:val="000000"/>
        </w:rPr>
        <w:t xml:space="preserve"> </w:t>
      </w:r>
      <w:r w:rsidRPr="0002370B">
        <w:rPr>
          <w:rFonts w:asciiTheme="majorBidi" w:hAnsiTheme="majorBidi" w:cstheme="majorBidi"/>
          <w:color w:val="000000"/>
        </w:rPr>
        <w:t>actuellement de (05) Cinq raffineries, la raffinerie de Skikda avec 15 MT, celle d'Arzew avec une</w:t>
      </w:r>
      <w:r>
        <w:rPr>
          <w:rFonts w:asciiTheme="majorBidi" w:hAnsiTheme="majorBidi" w:cstheme="majorBidi"/>
          <w:color w:val="000000"/>
        </w:rPr>
        <w:t xml:space="preserve"> </w:t>
      </w:r>
      <w:r w:rsidRPr="0002370B">
        <w:rPr>
          <w:rFonts w:asciiTheme="majorBidi" w:hAnsiTheme="majorBidi" w:cstheme="majorBidi"/>
          <w:color w:val="000000"/>
        </w:rPr>
        <w:t>capacité de production de 2,5 MT, la raffinerie d'Alger avec 2,7 MT, la raffinerie de Hassi Messaoud</w:t>
      </w:r>
      <w:r>
        <w:rPr>
          <w:rFonts w:asciiTheme="majorBidi" w:hAnsiTheme="majorBidi" w:cstheme="majorBidi"/>
          <w:color w:val="000000"/>
        </w:rPr>
        <w:t xml:space="preserve"> </w:t>
      </w:r>
      <w:r w:rsidRPr="0002370B">
        <w:rPr>
          <w:rFonts w:asciiTheme="majorBidi" w:hAnsiTheme="majorBidi" w:cstheme="majorBidi"/>
          <w:color w:val="000000"/>
        </w:rPr>
        <w:t>avec 1,2 MT et enfin la toute récente raffinerie d'Adrar avec 0,6 MT. L'ensemble des productions</w:t>
      </w:r>
      <w:r>
        <w:rPr>
          <w:rFonts w:asciiTheme="majorBidi" w:hAnsiTheme="majorBidi" w:cstheme="majorBidi"/>
          <w:color w:val="000000"/>
        </w:rPr>
        <w:t xml:space="preserve"> </w:t>
      </w:r>
      <w:r w:rsidRPr="0002370B">
        <w:rPr>
          <w:rFonts w:asciiTheme="majorBidi" w:hAnsiTheme="majorBidi" w:cstheme="majorBidi"/>
          <w:color w:val="000000"/>
        </w:rPr>
        <w:t>porte les capacités nationales de raffinage à 22,2 millions de tonnes. La production moyenne du</w:t>
      </w:r>
      <w:r>
        <w:rPr>
          <w:rFonts w:asciiTheme="majorBidi" w:hAnsiTheme="majorBidi" w:cstheme="majorBidi"/>
          <w:color w:val="000000"/>
        </w:rPr>
        <w:t xml:space="preserve"> </w:t>
      </w:r>
      <w:r w:rsidRPr="0002370B">
        <w:rPr>
          <w:rFonts w:asciiTheme="majorBidi" w:hAnsiTheme="majorBidi" w:cstheme="majorBidi"/>
          <w:color w:val="000000"/>
        </w:rPr>
        <w:t>gasoil a été de l'ordre de 6,1 millions de tonnes, soit 28% de la production totale. La demande</w:t>
      </w:r>
      <w:r>
        <w:rPr>
          <w:rFonts w:asciiTheme="majorBidi" w:hAnsiTheme="majorBidi" w:cstheme="majorBidi"/>
          <w:color w:val="000000"/>
        </w:rPr>
        <w:t xml:space="preserve"> </w:t>
      </w:r>
      <w:r w:rsidRPr="0002370B">
        <w:rPr>
          <w:rFonts w:asciiTheme="majorBidi" w:hAnsiTheme="majorBidi" w:cstheme="majorBidi"/>
          <w:color w:val="000000"/>
        </w:rPr>
        <w:t>nationale en gasoil est passée de 3,6 MT en 2000 à 6,1MT en 2006 (70%) soit un taux de croissance</w:t>
      </w:r>
      <w:r>
        <w:rPr>
          <w:rFonts w:asciiTheme="majorBidi" w:hAnsiTheme="majorBidi" w:cstheme="majorBidi"/>
          <w:color w:val="000000"/>
        </w:rPr>
        <w:t xml:space="preserve"> </w:t>
      </w:r>
      <w:r w:rsidRPr="0002370B">
        <w:rPr>
          <w:rFonts w:asciiTheme="majorBidi" w:hAnsiTheme="majorBidi" w:cstheme="majorBidi"/>
          <w:color w:val="000000"/>
        </w:rPr>
        <w:t>annuel moyen de plus de 9%. Pour la répartition de la consommation finale du gasoil par secteur</w:t>
      </w:r>
      <w:r>
        <w:rPr>
          <w:rFonts w:asciiTheme="majorBidi" w:hAnsiTheme="majorBidi" w:cstheme="majorBidi"/>
          <w:color w:val="000000"/>
        </w:rPr>
        <w:t xml:space="preserve"> </w:t>
      </w:r>
      <w:r w:rsidRPr="0002370B">
        <w:rPr>
          <w:rFonts w:asciiTheme="majorBidi" w:hAnsiTheme="majorBidi" w:cstheme="majorBidi"/>
          <w:color w:val="000000"/>
        </w:rPr>
        <w:t>d'activités en 2005 nous retrouvons le secteur du transport qui représente la part la plus importante</w:t>
      </w:r>
      <w:r>
        <w:rPr>
          <w:rFonts w:asciiTheme="majorBidi" w:hAnsiTheme="majorBidi" w:cstheme="majorBidi"/>
          <w:color w:val="000000"/>
        </w:rPr>
        <w:t xml:space="preserve"> </w:t>
      </w:r>
      <w:r w:rsidRPr="0002370B">
        <w:rPr>
          <w:rFonts w:asciiTheme="majorBidi" w:hAnsiTheme="majorBidi" w:cstheme="majorBidi"/>
          <w:color w:val="000000"/>
        </w:rPr>
        <w:t>soit 49%, suivi par le secteur rés</w:t>
      </w:r>
      <w:r>
        <w:rPr>
          <w:rFonts w:asciiTheme="majorBidi" w:hAnsiTheme="majorBidi" w:cstheme="majorBidi"/>
          <w:color w:val="000000"/>
        </w:rPr>
        <w:t xml:space="preserve">identiel et Tertiaire avec 23%, </w:t>
      </w:r>
      <w:r w:rsidRPr="0002370B">
        <w:rPr>
          <w:rFonts w:asciiTheme="majorBidi" w:hAnsiTheme="majorBidi" w:cstheme="majorBidi"/>
          <w:color w:val="000000"/>
        </w:rPr>
        <w:t>l'agriculture avec 17% et enfin</w:t>
      </w:r>
      <w:r>
        <w:rPr>
          <w:rFonts w:asciiTheme="majorBidi" w:hAnsiTheme="majorBidi" w:cstheme="majorBidi"/>
          <w:color w:val="000000"/>
        </w:rPr>
        <w:t xml:space="preserve"> </w:t>
      </w:r>
      <w:r w:rsidRPr="0002370B">
        <w:rPr>
          <w:rFonts w:asciiTheme="majorBidi" w:hAnsiTheme="majorBidi" w:cstheme="majorBidi"/>
          <w:color w:val="000000"/>
        </w:rPr>
        <w:t>l'industrie et le BTP avec 11%. Parallèlement à ses besoins, l'évolution du parc national roulant en</w:t>
      </w:r>
      <w:r>
        <w:rPr>
          <w:rFonts w:asciiTheme="majorBidi" w:hAnsiTheme="majorBidi" w:cstheme="majorBidi"/>
          <w:color w:val="000000"/>
        </w:rPr>
        <w:t xml:space="preserve"> </w:t>
      </w:r>
      <w:r w:rsidRPr="0002370B">
        <w:rPr>
          <w:rFonts w:asciiTheme="majorBidi" w:hAnsiTheme="majorBidi" w:cstheme="majorBidi"/>
          <w:color w:val="000000"/>
        </w:rPr>
        <w:t>fonction de la source d'énergie pour la période entre 2000-2006 est caractérisée par une tendance</w:t>
      </w:r>
      <w:r>
        <w:rPr>
          <w:rFonts w:asciiTheme="majorBidi" w:hAnsiTheme="majorBidi" w:cstheme="majorBidi"/>
          <w:color w:val="000000"/>
        </w:rPr>
        <w:t xml:space="preserve"> </w:t>
      </w:r>
      <w:r w:rsidRPr="0002370B">
        <w:rPr>
          <w:rFonts w:asciiTheme="majorBidi" w:hAnsiTheme="majorBidi" w:cstheme="majorBidi"/>
          <w:color w:val="000000"/>
        </w:rPr>
        <w:t>vers le diesel. En effet, le taux de diésélisation du parc national automobile est passé de 27% en</w:t>
      </w:r>
      <w:r>
        <w:rPr>
          <w:rFonts w:asciiTheme="majorBidi" w:hAnsiTheme="majorBidi" w:cstheme="majorBidi"/>
          <w:color w:val="000000"/>
        </w:rPr>
        <w:t xml:space="preserve"> </w:t>
      </w:r>
      <w:r w:rsidRPr="0002370B">
        <w:rPr>
          <w:rFonts w:asciiTheme="majorBidi" w:hAnsiTheme="majorBidi" w:cstheme="majorBidi"/>
          <w:color w:val="000000"/>
        </w:rPr>
        <w:t>2000 à 31% en 2006. Compte tenu de ses paramètres, une projection en terme d'évolution de l'offre</w:t>
      </w:r>
      <w:r>
        <w:rPr>
          <w:rFonts w:asciiTheme="majorBidi" w:hAnsiTheme="majorBidi" w:cstheme="majorBidi"/>
          <w:color w:val="000000"/>
        </w:rPr>
        <w:t xml:space="preserve"> </w:t>
      </w:r>
      <w:r w:rsidRPr="0002370B">
        <w:rPr>
          <w:rFonts w:asciiTheme="majorBidi" w:hAnsiTheme="majorBidi" w:cstheme="majorBidi"/>
          <w:color w:val="000000"/>
        </w:rPr>
        <w:t>et de la demande en gasoil à l'horizon 2025, fait état d'un déficit imminent à partir de cette année ou</w:t>
      </w:r>
      <w:r>
        <w:rPr>
          <w:rFonts w:asciiTheme="majorBidi" w:hAnsiTheme="majorBidi" w:cstheme="majorBidi"/>
          <w:color w:val="000000"/>
        </w:rPr>
        <w:t xml:space="preserve"> </w:t>
      </w:r>
      <w:r w:rsidRPr="0002370B">
        <w:rPr>
          <w:rFonts w:asciiTheme="majorBidi" w:hAnsiTheme="majorBidi" w:cstheme="majorBidi"/>
          <w:color w:val="000000"/>
        </w:rPr>
        <w:t>d'ailleurs la Sonatrach a déjà importé plus de 100 000 tonnes pour 52 millions $. Le déficit enregistré</w:t>
      </w:r>
      <w:r>
        <w:rPr>
          <w:rFonts w:asciiTheme="majorBidi" w:hAnsiTheme="majorBidi" w:cstheme="majorBidi"/>
          <w:color w:val="000000"/>
        </w:rPr>
        <w:t xml:space="preserve"> </w:t>
      </w:r>
      <w:r w:rsidRPr="0002370B">
        <w:rPr>
          <w:rFonts w:asciiTheme="majorBidi" w:hAnsiTheme="majorBidi" w:cstheme="majorBidi"/>
          <w:color w:val="000000"/>
        </w:rPr>
        <w:t xml:space="preserve">sera, temporairement, couvert à partir de 2012 par le programme de réhabilitation </w:t>
      </w:r>
      <w:r w:rsidRPr="0002370B">
        <w:rPr>
          <w:rFonts w:asciiTheme="majorBidi" w:hAnsiTheme="majorBidi" w:cstheme="majorBidi"/>
          <w:color w:val="000000"/>
        </w:rPr>
        <w:lastRenderedPageBreak/>
        <w:t>des raffineries</w:t>
      </w:r>
      <w:r>
        <w:rPr>
          <w:rFonts w:asciiTheme="majorBidi" w:hAnsiTheme="majorBidi" w:cstheme="majorBidi"/>
          <w:color w:val="000000"/>
        </w:rPr>
        <w:t xml:space="preserve"> </w:t>
      </w:r>
      <w:r w:rsidRPr="0002370B">
        <w:rPr>
          <w:rFonts w:asciiTheme="majorBidi" w:hAnsiTheme="majorBidi" w:cstheme="majorBidi"/>
          <w:color w:val="000000"/>
        </w:rPr>
        <w:t>jusqu'à 2014, mais entre 2015 et 2025 le déficit en question deviendra quasiment structurel.</w:t>
      </w:r>
      <w:r w:rsidRPr="00B35D16">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656AC8" w:rsidRPr="0098240B" w:rsidRDefault="00656AC8" w:rsidP="00F80F9A">
      <w:pPr>
        <w:autoSpaceDE w:val="0"/>
        <w:autoSpaceDN w:val="0"/>
        <w:adjustRightInd w:val="0"/>
        <w:spacing w:line="360" w:lineRule="auto"/>
        <w:jc w:val="both"/>
        <w:rPr>
          <w:rFonts w:asciiTheme="majorBidi" w:hAnsiTheme="majorBidi" w:cstheme="majorBidi"/>
          <w:color w:val="000000"/>
          <w:u w:val="single"/>
        </w:rPr>
      </w:pPr>
      <w:r w:rsidRPr="0098240B">
        <w:rPr>
          <w:rFonts w:asciiTheme="majorBidi" w:hAnsiTheme="majorBidi" w:cstheme="majorBidi"/>
          <w:color w:val="000000"/>
          <w:u w:val="single"/>
        </w:rPr>
        <w:t>Avantages et inconvénients :</w:t>
      </w:r>
    </w:p>
    <w:p w:rsidR="00656AC8" w:rsidRPr="0002370B" w:rsidRDefault="00656AC8" w:rsidP="00F80F9A">
      <w:pPr>
        <w:autoSpaceDE w:val="0"/>
        <w:autoSpaceDN w:val="0"/>
        <w:adjustRightInd w:val="0"/>
        <w:spacing w:line="360" w:lineRule="auto"/>
        <w:jc w:val="both"/>
        <w:rPr>
          <w:rFonts w:asciiTheme="majorBidi" w:hAnsiTheme="majorBidi" w:cstheme="majorBidi"/>
          <w:color w:val="000000"/>
        </w:rPr>
      </w:pPr>
      <w:r w:rsidRPr="0002370B">
        <w:rPr>
          <w:rFonts w:asciiTheme="majorBidi" w:hAnsiTheme="majorBidi" w:cstheme="majorBidi"/>
          <w:color w:val="000000"/>
        </w:rPr>
        <w:t>Selon les prévisions de la Commission Nationale de l'Elaboration du Programme Indicatif des</w:t>
      </w:r>
      <w:r>
        <w:rPr>
          <w:rFonts w:asciiTheme="majorBidi" w:hAnsiTheme="majorBidi" w:cstheme="majorBidi"/>
          <w:color w:val="000000"/>
        </w:rPr>
        <w:t xml:space="preserve"> </w:t>
      </w:r>
      <w:r w:rsidRPr="0002370B">
        <w:rPr>
          <w:rFonts w:asciiTheme="majorBidi" w:hAnsiTheme="majorBidi" w:cstheme="majorBidi"/>
          <w:color w:val="000000"/>
        </w:rPr>
        <w:t>produits pétroliers, deux points de rupture seront enregistrés en 2008 et en 2014 avec une</w:t>
      </w:r>
      <w:r>
        <w:rPr>
          <w:rFonts w:asciiTheme="majorBidi" w:hAnsiTheme="majorBidi" w:cstheme="majorBidi"/>
          <w:color w:val="000000"/>
        </w:rPr>
        <w:t xml:space="preserve"> </w:t>
      </w:r>
      <w:r w:rsidRPr="0002370B">
        <w:rPr>
          <w:rFonts w:asciiTheme="majorBidi" w:hAnsiTheme="majorBidi" w:cstheme="majorBidi"/>
          <w:color w:val="000000"/>
        </w:rPr>
        <w:t>couverture de la demande en gasoil entre 2012 et 2014. A l'horizon 2020 l'écart entre l'offre et la</w:t>
      </w:r>
      <w:r>
        <w:rPr>
          <w:rFonts w:asciiTheme="majorBidi" w:hAnsiTheme="majorBidi" w:cstheme="majorBidi"/>
          <w:color w:val="000000"/>
        </w:rPr>
        <w:t xml:space="preserve"> </w:t>
      </w:r>
      <w:r w:rsidRPr="0002370B">
        <w:rPr>
          <w:rFonts w:asciiTheme="majorBidi" w:hAnsiTheme="majorBidi" w:cstheme="majorBidi"/>
          <w:color w:val="000000"/>
        </w:rPr>
        <w:t>demande serait de 2 660 000 tonnes/an, la demande sera largement supérieure à l'offre, selon la</w:t>
      </w:r>
      <w:r>
        <w:rPr>
          <w:rFonts w:asciiTheme="majorBidi" w:hAnsiTheme="majorBidi" w:cstheme="majorBidi"/>
          <w:color w:val="000000"/>
        </w:rPr>
        <w:t xml:space="preserve"> </w:t>
      </w:r>
      <w:r w:rsidRPr="0002370B">
        <w:rPr>
          <w:rFonts w:asciiTheme="majorBidi" w:hAnsiTheme="majorBidi" w:cstheme="majorBidi"/>
          <w:color w:val="000000"/>
        </w:rPr>
        <w:t>même commission. De nombreuses études préconisent, pour pallier ce déficit, d'augmenter les</w:t>
      </w:r>
      <w:r>
        <w:rPr>
          <w:rFonts w:asciiTheme="majorBidi" w:hAnsiTheme="majorBidi" w:cstheme="majorBidi"/>
          <w:color w:val="000000"/>
        </w:rPr>
        <w:t xml:space="preserve"> </w:t>
      </w:r>
      <w:r w:rsidRPr="0002370B">
        <w:rPr>
          <w:rFonts w:asciiTheme="majorBidi" w:hAnsiTheme="majorBidi" w:cstheme="majorBidi"/>
          <w:color w:val="000000"/>
        </w:rPr>
        <w:t>capacités nationales de raffinage pour répondre à la demande, d'encourager la consommation des</w:t>
      </w:r>
      <w:r>
        <w:rPr>
          <w:rFonts w:asciiTheme="majorBidi" w:hAnsiTheme="majorBidi" w:cstheme="majorBidi"/>
          <w:color w:val="000000"/>
        </w:rPr>
        <w:t xml:space="preserve"> </w:t>
      </w:r>
      <w:r w:rsidRPr="0002370B">
        <w:rPr>
          <w:rFonts w:asciiTheme="majorBidi" w:hAnsiTheme="majorBidi" w:cstheme="majorBidi"/>
          <w:color w:val="000000"/>
        </w:rPr>
        <w:t>produits pétroliers les plus disponibles et les moins polluants à l'instar du GPL carburant et le GN</w:t>
      </w:r>
      <w:r>
        <w:rPr>
          <w:rFonts w:asciiTheme="majorBidi" w:hAnsiTheme="majorBidi" w:cstheme="majorBidi"/>
          <w:color w:val="000000"/>
        </w:rPr>
        <w:t>L</w:t>
      </w:r>
      <w:r w:rsidRPr="0002370B">
        <w:rPr>
          <w:rFonts w:asciiTheme="majorBidi" w:hAnsiTheme="majorBidi" w:cstheme="majorBidi"/>
          <w:color w:val="000000"/>
        </w:rPr>
        <w:t>,</w:t>
      </w:r>
      <w:r>
        <w:rPr>
          <w:rFonts w:asciiTheme="majorBidi" w:hAnsiTheme="majorBidi" w:cstheme="majorBidi"/>
          <w:color w:val="000000"/>
        </w:rPr>
        <w:t xml:space="preserve"> </w:t>
      </w:r>
      <w:r w:rsidRPr="0002370B">
        <w:rPr>
          <w:rFonts w:asciiTheme="majorBidi" w:hAnsiTheme="majorBidi" w:cstheme="majorBidi"/>
          <w:color w:val="000000"/>
        </w:rPr>
        <w:t>de décourager fortement l'importation des véhicules légers roulant au gasoil, d'encourager la</w:t>
      </w:r>
      <w:r>
        <w:rPr>
          <w:rFonts w:asciiTheme="majorBidi" w:hAnsiTheme="majorBidi" w:cstheme="majorBidi"/>
          <w:color w:val="000000"/>
        </w:rPr>
        <w:t xml:space="preserve"> </w:t>
      </w:r>
      <w:r w:rsidRPr="0002370B">
        <w:rPr>
          <w:rFonts w:asciiTheme="majorBidi" w:hAnsiTheme="majorBidi" w:cstheme="majorBidi"/>
          <w:color w:val="000000"/>
        </w:rPr>
        <w:t>consommation du gaz naturel dans le résidentiel et le tertiaire au lieu du gasoil, de développer</w:t>
      </w:r>
      <w:r>
        <w:rPr>
          <w:rFonts w:asciiTheme="majorBidi" w:hAnsiTheme="majorBidi" w:cstheme="majorBidi"/>
          <w:color w:val="000000"/>
        </w:rPr>
        <w:t xml:space="preserve"> </w:t>
      </w:r>
      <w:r w:rsidRPr="0002370B">
        <w:rPr>
          <w:rFonts w:asciiTheme="majorBidi" w:hAnsiTheme="majorBidi" w:cstheme="majorBidi"/>
          <w:color w:val="000000"/>
        </w:rPr>
        <w:t>l'utilisation du chauffage solaire dans les zones rurales et enfin de développer l'utilisation de l'énergie</w:t>
      </w:r>
      <w:r>
        <w:rPr>
          <w:rFonts w:asciiTheme="majorBidi" w:hAnsiTheme="majorBidi" w:cstheme="majorBidi"/>
          <w:color w:val="000000"/>
        </w:rPr>
        <w:t xml:space="preserve"> </w:t>
      </w:r>
      <w:r w:rsidRPr="0002370B">
        <w:rPr>
          <w:rFonts w:asciiTheme="majorBidi" w:hAnsiTheme="majorBidi" w:cstheme="majorBidi"/>
          <w:color w:val="000000"/>
        </w:rPr>
        <w:t>électrique dans le transport ferroviaire. Ceci étant dit, la tendance au niveau planétaire,</w:t>
      </w:r>
      <w:r>
        <w:rPr>
          <w:rFonts w:asciiTheme="majorBidi" w:hAnsiTheme="majorBidi" w:cstheme="majorBidi"/>
          <w:color w:val="000000"/>
        </w:rPr>
        <w:t xml:space="preserve"> </w:t>
      </w:r>
      <w:r w:rsidRPr="0002370B">
        <w:rPr>
          <w:rFonts w:asciiTheme="majorBidi" w:hAnsiTheme="majorBidi" w:cstheme="majorBidi"/>
          <w:color w:val="000000"/>
        </w:rPr>
        <w:t>particulièrement les pays développés, est de limiter de manière draconienne la teneur en certains</w:t>
      </w:r>
      <w:r>
        <w:rPr>
          <w:rFonts w:asciiTheme="majorBidi" w:hAnsiTheme="majorBidi" w:cstheme="majorBidi"/>
          <w:color w:val="000000"/>
        </w:rPr>
        <w:t xml:space="preserve"> </w:t>
      </w:r>
      <w:r w:rsidRPr="0002370B">
        <w:rPr>
          <w:rFonts w:asciiTheme="majorBidi" w:hAnsiTheme="majorBidi" w:cstheme="majorBidi"/>
          <w:color w:val="000000"/>
        </w:rPr>
        <w:t>produits (souffre) dans le cadre de la protection de l'environnement ou de l'évolution technologique</w:t>
      </w:r>
      <w:r>
        <w:rPr>
          <w:rFonts w:asciiTheme="majorBidi" w:hAnsiTheme="majorBidi" w:cstheme="majorBidi"/>
          <w:color w:val="000000"/>
        </w:rPr>
        <w:t xml:space="preserve"> </w:t>
      </w:r>
      <w:r w:rsidRPr="0002370B">
        <w:rPr>
          <w:rFonts w:asciiTheme="majorBidi" w:hAnsiTheme="majorBidi" w:cstheme="majorBidi"/>
          <w:color w:val="000000"/>
        </w:rPr>
        <w:t>des moteurs (teneur en eau). A ce propos, il faut savoir que les spécifications administratives du</w:t>
      </w:r>
      <w:r>
        <w:rPr>
          <w:rFonts w:asciiTheme="majorBidi" w:hAnsiTheme="majorBidi" w:cstheme="majorBidi"/>
          <w:color w:val="000000"/>
        </w:rPr>
        <w:t xml:space="preserve"> </w:t>
      </w:r>
      <w:r w:rsidRPr="0002370B">
        <w:rPr>
          <w:rFonts w:asciiTheme="majorBidi" w:hAnsiTheme="majorBidi" w:cstheme="majorBidi"/>
          <w:color w:val="000000"/>
        </w:rPr>
        <w:t>gasoil algérien ne sont pas aussi strictes en matière de préservation de l'environnement et n'ont pas</w:t>
      </w:r>
      <w:r>
        <w:rPr>
          <w:rFonts w:asciiTheme="majorBidi" w:hAnsiTheme="majorBidi" w:cstheme="majorBidi"/>
          <w:color w:val="000000"/>
        </w:rPr>
        <w:t xml:space="preserve"> </w:t>
      </w:r>
      <w:r w:rsidRPr="0002370B">
        <w:rPr>
          <w:rFonts w:asciiTheme="majorBidi" w:hAnsiTheme="majorBidi" w:cstheme="majorBidi"/>
          <w:color w:val="000000"/>
        </w:rPr>
        <w:t>été révisées depuis l'année de leur promulgation en 1992.Par ailleurs, il est utile de rappeler que le</w:t>
      </w:r>
      <w:r>
        <w:rPr>
          <w:rFonts w:asciiTheme="majorBidi" w:hAnsiTheme="majorBidi" w:cstheme="majorBidi"/>
          <w:color w:val="000000"/>
        </w:rPr>
        <w:t xml:space="preserve"> </w:t>
      </w:r>
      <w:r w:rsidRPr="0002370B">
        <w:rPr>
          <w:rFonts w:asciiTheme="majorBidi" w:hAnsiTheme="majorBidi" w:cstheme="majorBidi"/>
          <w:color w:val="000000"/>
        </w:rPr>
        <w:t>gasoil en tant que carburant présente des atouts et des inconvénients. En termes d'avantages, sa</w:t>
      </w:r>
      <w:r>
        <w:rPr>
          <w:rFonts w:asciiTheme="majorBidi" w:hAnsiTheme="majorBidi" w:cstheme="majorBidi"/>
          <w:color w:val="000000"/>
        </w:rPr>
        <w:t xml:space="preserve"> </w:t>
      </w:r>
      <w:r w:rsidRPr="0002370B">
        <w:rPr>
          <w:rFonts w:asciiTheme="majorBidi" w:hAnsiTheme="majorBidi" w:cstheme="majorBidi"/>
          <w:color w:val="000000"/>
        </w:rPr>
        <w:t>qualité principale est sa bonne aptitude à l'auto inflammation. Sa combustion commence au moment</w:t>
      </w:r>
      <w:r>
        <w:rPr>
          <w:rFonts w:asciiTheme="majorBidi" w:hAnsiTheme="majorBidi" w:cstheme="majorBidi"/>
          <w:color w:val="000000"/>
        </w:rPr>
        <w:t xml:space="preserve"> </w:t>
      </w:r>
      <w:r w:rsidRPr="0002370B">
        <w:rPr>
          <w:rFonts w:asciiTheme="majorBidi" w:hAnsiTheme="majorBidi" w:cstheme="majorBidi"/>
          <w:color w:val="000000"/>
        </w:rPr>
        <w:t>où la moitié environ de la charge totale pénètre dans le cylindre et qu'elle brûle ensuite</w:t>
      </w:r>
      <w:r w:rsidR="0098240B">
        <w:rPr>
          <w:rFonts w:asciiTheme="majorBidi" w:hAnsiTheme="majorBidi" w:cstheme="majorBidi"/>
          <w:color w:val="000000"/>
        </w:rPr>
        <w:t xml:space="preserve"> </w:t>
      </w:r>
      <w:r w:rsidRPr="0002370B">
        <w:rPr>
          <w:rFonts w:asciiTheme="majorBidi" w:hAnsiTheme="majorBidi" w:cstheme="majorBidi"/>
          <w:color w:val="000000"/>
        </w:rPr>
        <w:t>proportionnellement à la vitesse d'injection. La combustion se produit d'un seul coup, au lieu d'être</w:t>
      </w:r>
      <w:r>
        <w:rPr>
          <w:rFonts w:asciiTheme="majorBidi" w:hAnsiTheme="majorBidi" w:cstheme="majorBidi"/>
          <w:color w:val="000000"/>
        </w:rPr>
        <w:t xml:space="preserve"> </w:t>
      </w:r>
      <w:r w:rsidRPr="0002370B">
        <w:rPr>
          <w:rFonts w:asciiTheme="majorBidi" w:hAnsiTheme="majorBidi" w:cstheme="majorBidi"/>
          <w:color w:val="000000"/>
        </w:rPr>
        <w:t>progressive. Le gasoil présente un pouvoir calorifique volumique supérieur à celui du supercarburant</w:t>
      </w:r>
      <w:r>
        <w:rPr>
          <w:rFonts w:asciiTheme="majorBidi" w:hAnsiTheme="majorBidi" w:cstheme="majorBidi"/>
          <w:color w:val="000000"/>
        </w:rPr>
        <w:t xml:space="preserve"> </w:t>
      </w:r>
      <w:r w:rsidRPr="0002370B">
        <w:rPr>
          <w:rFonts w:asciiTheme="majorBidi" w:hAnsiTheme="majorBidi" w:cstheme="majorBidi"/>
          <w:color w:val="000000"/>
        </w:rPr>
        <w:t>d'environ 10 %. Un prix à la pompe très avantageux par rapport aux essences et enfin l'éloignement</w:t>
      </w:r>
      <w:r>
        <w:rPr>
          <w:rFonts w:asciiTheme="majorBidi" w:hAnsiTheme="majorBidi" w:cstheme="majorBidi"/>
          <w:color w:val="000000"/>
        </w:rPr>
        <w:t xml:space="preserve"> </w:t>
      </w:r>
      <w:r w:rsidRPr="0002370B">
        <w:rPr>
          <w:rFonts w:asciiTheme="majorBidi" w:hAnsiTheme="majorBidi" w:cstheme="majorBidi"/>
          <w:color w:val="000000"/>
        </w:rPr>
        <w:t>des vidanges d'huile de 8 000 km à 10 000 km. Par contre, à côté de ses avantages, le gasoil est un</w:t>
      </w:r>
      <w:r>
        <w:rPr>
          <w:rFonts w:asciiTheme="majorBidi" w:hAnsiTheme="majorBidi" w:cstheme="majorBidi"/>
          <w:color w:val="000000"/>
        </w:rPr>
        <w:t xml:space="preserve"> </w:t>
      </w:r>
      <w:r w:rsidRPr="0002370B">
        <w:rPr>
          <w:rFonts w:asciiTheme="majorBidi" w:hAnsiTheme="majorBidi" w:cstheme="majorBidi"/>
          <w:color w:val="000000"/>
        </w:rPr>
        <w:t>produit pétrolier énergétique très polluant. Son utilisation engendre des émissions d'Oxyde d'azote</w:t>
      </w:r>
      <w:r>
        <w:rPr>
          <w:rFonts w:asciiTheme="majorBidi" w:hAnsiTheme="majorBidi" w:cstheme="majorBidi"/>
          <w:color w:val="000000"/>
        </w:rPr>
        <w:t xml:space="preserve"> </w:t>
      </w:r>
      <w:r w:rsidRPr="0002370B">
        <w:rPr>
          <w:rFonts w:asciiTheme="majorBidi" w:hAnsiTheme="majorBidi" w:cstheme="majorBidi"/>
          <w:color w:val="000000"/>
        </w:rPr>
        <w:t>(NOX), de toxique lors d'un simple contact avec l'eau, l'Oxyde de carbone (CO) dû à une combustion</w:t>
      </w:r>
      <w:r>
        <w:rPr>
          <w:rFonts w:asciiTheme="majorBidi" w:hAnsiTheme="majorBidi" w:cstheme="majorBidi"/>
          <w:color w:val="000000"/>
        </w:rPr>
        <w:t xml:space="preserve"> </w:t>
      </w:r>
      <w:r w:rsidRPr="0002370B">
        <w:rPr>
          <w:rFonts w:asciiTheme="majorBidi" w:hAnsiTheme="majorBidi" w:cstheme="majorBidi"/>
          <w:color w:val="000000"/>
        </w:rPr>
        <w:t>incomplète du carburant, la formation de Cokes qui aggravent le fonctionnement du moteur et enfin</w:t>
      </w:r>
      <w:r>
        <w:rPr>
          <w:rFonts w:asciiTheme="majorBidi" w:hAnsiTheme="majorBidi" w:cstheme="majorBidi"/>
          <w:color w:val="000000"/>
        </w:rPr>
        <w:t xml:space="preserve"> </w:t>
      </w:r>
      <w:r w:rsidRPr="0002370B">
        <w:rPr>
          <w:rFonts w:asciiTheme="majorBidi" w:hAnsiTheme="majorBidi" w:cstheme="majorBidi"/>
          <w:color w:val="000000"/>
        </w:rPr>
        <w:t>l'émission des fumées toxiques. `En tout état de cause, pour inciter les automobilistes à aller vers</w:t>
      </w:r>
      <w:r>
        <w:rPr>
          <w:rFonts w:asciiTheme="majorBidi" w:hAnsiTheme="majorBidi" w:cstheme="majorBidi"/>
          <w:color w:val="000000"/>
        </w:rPr>
        <w:t xml:space="preserve"> </w:t>
      </w:r>
      <w:r w:rsidRPr="0002370B">
        <w:rPr>
          <w:rFonts w:asciiTheme="majorBidi" w:hAnsiTheme="majorBidi" w:cstheme="majorBidi"/>
          <w:color w:val="000000"/>
        </w:rPr>
        <w:t>des carburants autres que le gasoil, il a été suggéré, particulièrement par le ministre de l'énergie et</w:t>
      </w:r>
      <w:r>
        <w:rPr>
          <w:rFonts w:asciiTheme="majorBidi" w:hAnsiTheme="majorBidi" w:cstheme="majorBidi"/>
          <w:color w:val="000000"/>
        </w:rPr>
        <w:t xml:space="preserve"> </w:t>
      </w:r>
      <w:r w:rsidRPr="0002370B">
        <w:rPr>
          <w:rFonts w:asciiTheme="majorBidi" w:hAnsiTheme="majorBidi" w:cstheme="majorBidi"/>
          <w:color w:val="000000"/>
        </w:rPr>
        <w:t>des mines, l'augmentation des taxes pour notamment inclure les coûts indirects qui ne sont pas</w:t>
      </w:r>
      <w:r>
        <w:rPr>
          <w:rFonts w:asciiTheme="majorBidi" w:hAnsiTheme="majorBidi" w:cstheme="majorBidi"/>
          <w:color w:val="000000"/>
        </w:rPr>
        <w:t xml:space="preserve"> </w:t>
      </w:r>
      <w:r w:rsidRPr="0002370B">
        <w:rPr>
          <w:rFonts w:asciiTheme="majorBidi" w:hAnsiTheme="majorBidi" w:cstheme="majorBidi"/>
          <w:color w:val="000000"/>
        </w:rPr>
        <w:t xml:space="preserve">supportés par les consommateurs et </w:t>
      </w:r>
      <w:r w:rsidRPr="0002370B">
        <w:rPr>
          <w:rFonts w:asciiTheme="majorBidi" w:hAnsiTheme="majorBidi" w:cstheme="majorBidi"/>
          <w:color w:val="000000"/>
        </w:rPr>
        <w:lastRenderedPageBreak/>
        <w:t>qui comprennent les coûts de l'utilisation de l'infrastructure</w:t>
      </w:r>
      <w:r>
        <w:rPr>
          <w:rFonts w:asciiTheme="majorBidi" w:hAnsiTheme="majorBidi" w:cstheme="majorBidi"/>
          <w:color w:val="000000"/>
        </w:rPr>
        <w:t xml:space="preserve"> </w:t>
      </w:r>
      <w:r w:rsidRPr="0002370B">
        <w:rPr>
          <w:rFonts w:asciiTheme="majorBidi" w:hAnsiTheme="majorBidi" w:cstheme="majorBidi"/>
          <w:color w:val="000000"/>
        </w:rPr>
        <w:t>routière et des impacts sur la santé publique supportés jusqu'à maintenant par le budget de l'Etat.</w:t>
      </w:r>
    </w:p>
    <w:p w:rsidR="00656AC8" w:rsidRPr="0002370B" w:rsidRDefault="00656AC8" w:rsidP="00F80F9A">
      <w:pPr>
        <w:autoSpaceDE w:val="0"/>
        <w:autoSpaceDN w:val="0"/>
        <w:adjustRightInd w:val="0"/>
        <w:spacing w:line="360" w:lineRule="auto"/>
        <w:jc w:val="both"/>
        <w:rPr>
          <w:rFonts w:asciiTheme="majorBidi" w:hAnsiTheme="majorBidi" w:cstheme="majorBidi"/>
          <w:color w:val="000000"/>
        </w:rPr>
      </w:pPr>
      <w:r w:rsidRPr="0002370B">
        <w:rPr>
          <w:rFonts w:asciiTheme="majorBidi" w:hAnsiTheme="majorBidi" w:cstheme="majorBidi"/>
          <w:color w:val="000000"/>
        </w:rPr>
        <w:t>L'autre argument avancé par les pouvoirs publics concerne le coût du gasoil importé dont le coût réel</w:t>
      </w:r>
      <w:r>
        <w:rPr>
          <w:rFonts w:asciiTheme="majorBidi" w:hAnsiTheme="majorBidi" w:cstheme="majorBidi"/>
          <w:color w:val="000000"/>
        </w:rPr>
        <w:t xml:space="preserve"> </w:t>
      </w:r>
      <w:r w:rsidRPr="0002370B">
        <w:rPr>
          <w:rFonts w:asciiTheme="majorBidi" w:hAnsiTheme="majorBidi" w:cstheme="majorBidi"/>
          <w:color w:val="000000"/>
        </w:rPr>
        <w:t>de revient est de 35 dinars le litre, alors que le prix à la pompe, par l'entremise de la subvention de</w:t>
      </w:r>
      <w:r>
        <w:rPr>
          <w:rFonts w:asciiTheme="majorBidi" w:hAnsiTheme="majorBidi" w:cstheme="majorBidi"/>
          <w:color w:val="000000"/>
        </w:rPr>
        <w:t xml:space="preserve"> </w:t>
      </w:r>
      <w:r w:rsidRPr="0002370B">
        <w:rPr>
          <w:rFonts w:asciiTheme="majorBidi" w:hAnsiTheme="majorBidi" w:cstheme="majorBidi"/>
          <w:color w:val="000000"/>
        </w:rPr>
        <w:t>l'Etat, est inférieur à 14 dinars.</w:t>
      </w:r>
      <w:r w:rsidRPr="00B35D16">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656AC8" w:rsidRDefault="00656AC8" w:rsidP="00F80F9A">
      <w:pPr>
        <w:rPr>
          <w:rFonts w:asciiTheme="majorBidi" w:hAnsiTheme="majorBidi" w:cstheme="majorBidi"/>
          <w:b/>
          <w:bCs/>
          <w:sz w:val="28"/>
          <w:szCs w:val="28"/>
          <w:u w:val="single"/>
        </w:rPr>
      </w:pPr>
      <w:r>
        <w:rPr>
          <w:rFonts w:asciiTheme="majorBidi" w:hAnsiTheme="majorBidi" w:cstheme="majorBidi"/>
          <w:b/>
          <w:bCs/>
          <w:noProof/>
          <w:sz w:val="28"/>
          <w:szCs w:val="28"/>
          <w:u w:val="single"/>
          <w:lang w:val="en-US" w:eastAsia="en-US"/>
        </w:rPr>
        <w:drawing>
          <wp:inline distT="0" distB="0" distL="0" distR="0">
            <wp:extent cx="5819775" cy="4048125"/>
            <wp:effectExtent l="19050" t="0" r="9525"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srcRect/>
                    <a:stretch>
                      <a:fillRect/>
                    </a:stretch>
                  </pic:blipFill>
                  <pic:spPr bwMode="auto">
                    <a:xfrm>
                      <a:off x="0" y="0"/>
                      <a:ext cx="5819775" cy="4048125"/>
                    </a:xfrm>
                    <a:prstGeom prst="rect">
                      <a:avLst/>
                    </a:prstGeom>
                    <a:noFill/>
                    <a:ln w="9525">
                      <a:noFill/>
                      <a:miter lim="800000"/>
                      <a:headEnd/>
                      <a:tailEnd/>
                    </a:ln>
                  </pic:spPr>
                </pic:pic>
              </a:graphicData>
            </a:graphic>
          </wp:inline>
        </w:drawing>
      </w:r>
    </w:p>
    <w:p w:rsidR="00656AC8" w:rsidRDefault="00656AC8" w:rsidP="00F80F9A">
      <w:pPr>
        <w:spacing w:line="360" w:lineRule="auto"/>
        <w:jc w:val="center"/>
        <w:rPr>
          <w:rFonts w:asciiTheme="majorBidi" w:hAnsiTheme="majorBidi" w:cstheme="majorBidi"/>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I.11.</w:t>
      </w:r>
      <w:r w:rsidRPr="00B35D16">
        <w:rPr>
          <w:rFonts w:asciiTheme="majorBidi" w:hAnsiTheme="majorBidi" w:cstheme="majorBidi"/>
          <w:b/>
          <w:bCs/>
          <w:u w:val="single"/>
        </w:rPr>
        <w:t xml:space="preserve"> : Évolution : production /ventes du </w:t>
      </w:r>
      <w:r>
        <w:rPr>
          <w:rFonts w:asciiTheme="majorBidi" w:hAnsiTheme="majorBidi" w:cstheme="majorBidi"/>
          <w:b/>
          <w:bCs/>
          <w:u w:val="single"/>
        </w:rPr>
        <w:t>gas</w:t>
      </w:r>
      <w:r w:rsidRPr="00B35D16">
        <w:rPr>
          <w:rFonts w:asciiTheme="majorBidi" w:hAnsiTheme="majorBidi" w:cstheme="majorBidi"/>
          <w:b/>
          <w:bCs/>
          <w:u w:val="single"/>
        </w:rPr>
        <w:t>oil</w:t>
      </w:r>
      <w:r>
        <w:rPr>
          <w:rFonts w:asciiTheme="majorBidi" w:hAnsiTheme="majorBidi" w:cstheme="majorBidi"/>
          <w:b/>
          <w:bCs/>
          <w:u w:val="single"/>
        </w:rPr>
        <w:t xml:space="preserve">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F80F9A" w:rsidRPr="00B35D16" w:rsidRDefault="00F80F9A" w:rsidP="00F80F9A">
      <w:pPr>
        <w:spacing w:line="360" w:lineRule="auto"/>
        <w:jc w:val="both"/>
        <w:rPr>
          <w:rFonts w:asciiTheme="majorBidi" w:hAnsiTheme="majorBidi" w:cstheme="majorBidi"/>
          <w:b/>
          <w:bCs/>
          <w:u w:val="single"/>
        </w:rPr>
      </w:pPr>
    </w:p>
    <w:p w:rsidR="00656AC8" w:rsidRDefault="00656AC8" w:rsidP="00F80F9A">
      <w:pPr>
        <w:rPr>
          <w:rFonts w:asciiTheme="majorBidi" w:hAnsiTheme="majorBidi" w:cstheme="majorBidi"/>
          <w:sz w:val="28"/>
          <w:szCs w:val="28"/>
        </w:rPr>
      </w:pPr>
      <w:r>
        <w:rPr>
          <w:rFonts w:asciiTheme="majorBidi" w:hAnsiTheme="majorBidi" w:cstheme="majorBidi"/>
          <w:noProof/>
          <w:sz w:val="28"/>
          <w:szCs w:val="28"/>
          <w:lang w:val="en-US" w:eastAsia="en-US"/>
        </w:rPr>
        <w:lastRenderedPageBreak/>
        <w:drawing>
          <wp:inline distT="0" distB="0" distL="0" distR="0">
            <wp:extent cx="5562600" cy="3362325"/>
            <wp:effectExtent l="19050" t="0" r="0" b="0"/>
            <wp:docPr id="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srcRect/>
                    <a:stretch>
                      <a:fillRect/>
                    </a:stretch>
                  </pic:blipFill>
                  <pic:spPr bwMode="auto">
                    <a:xfrm>
                      <a:off x="0" y="0"/>
                      <a:ext cx="5562600" cy="3362325"/>
                    </a:xfrm>
                    <a:prstGeom prst="rect">
                      <a:avLst/>
                    </a:prstGeom>
                    <a:noFill/>
                    <a:ln w="9525">
                      <a:noFill/>
                      <a:miter lim="800000"/>
                      <a:headEnd/>
                      <a:tailEnd/>
                    </a:ln>
                  </pic:spPr>
                </pic:pic>
              </a:graphicData>
            </a:graphic>
          </wp:inline>
        </w:drawing>
      </w:r>
    </w:p>
    <w:p w:rsidR="00656AC8" w:rsidRPr="00951C14" w:rsidRDefault="00656AC8" w:rsidP="00F80F9A">
      <w:pPr>
        <w:spacing w:line="360" w:lineRule="auto"/>
        <w:jc w:val="center"/>
        <w:rPr>
          <w:rFonts w:asciiTheme="majorBidi" w:hAnsiTheme="majorBidi" w:cstheme="majorBidi"/>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B35D16">
        <w:rPr>
          <w:rFonts w:asciiTheme="majorBidi" w:hAnsiTheme="majorBidi" w:cstheme="majorBidi"/>
          <w:b/>
          <w:bCs/>
          <w:u w:val="single"/>
        </w:rPr>
        <w:t>12. Intégration des distillats du Topping de condensats dans le</w:t>
      </w:r>
      <w:r>
        <w:rPr>
          <w:rFonts w:asciiTheme="majorBidi" w:hAnsiTheme="majorBidi" w:cstheme="majorBidi"/>
          <w:b/>
          <w:bCs/>
          <w:u w:val="single"/>
        </w:rPr>
        <w:t xml:space="preserve"> pool gas</w:t>
      </w:r>
      <w:r w:rsidRPr="00B35D16">
        <w:rPr>
          <w:rFonts w:asciiTheme="majorBidi" w:hAnsiTheme="majorBidi" w:cstheme="majorBidi"/>
          <w:b/>
          <w:bCs/>
          <w:u w:val="single"/>
        </w:rPr>
        <w:t>oil RA1K  à partir de 2008</w:t>
      </w:r>
      <w:r>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656AC8" w:rsidRPr="00951C14" w:rsidRDefault="00656AC8" w:rsidP="00F80F9A">
      <w:pPr>
        <w:spacing w:line="360" w:lineRule="auto"/>
        <w:jc w:val="both"/>
        <w:rPr>
          <w:rFonts w:asciiTheme="majorBidi" w:hAnsiTheme="majorBidi" w:cstheme="majorBidi"/>
        </w:rPr>
      </w:pPr>
      <w:r w:rsidRPr="00951C14">
        <w:rPr>
          <w:rFonts w:asciiTheme="majorBidi" w:hAnsiTheme="majorBidi" w:cstheme="majorBidi"/>
        </w:rPr>
        <w:t>Avec l’apport des distillats de la raffinerie de condensats (1 115 000 t/an), une p</w:t>
      </w:r>
      <w:r>
        <w:rPr>
          <w:rFonts w:asciiTheme="majorBidi" w:hAnsiTheme="majorBidi" w:cstheme="majorBidi"/>
        </w:rPr>
        <w:t>roduction de 4 715 000 t de gas</w:t>
      </w:r>
      <w:r w:rsidRPr="00951C14">
        <w:rPr>
          <w:rFonts w:asciiTheme="majorBidi" w:hAnsiTheme="majorBidi" w:cstheme="majorBidi"/>
        </w:rPr>
        <w:t>oil sera dégagée avec un excédent de 1 500 000 t/an de Jet A1 qui sera destiné en grande partie à l’exportation.</w:t>
      </w:r>
    </w:p>
    <w:p w:rsidR="00F80F9A" w:rsidRPr="00F80F9A" w:rsidRDefault="00656AC8" w:rsidP="00F80F9A">
      <w:pPr>
        <w:rPr>
          <w:rFonts w:asciiTheme="majorBidi" w:hAnsiTheme="majorBidi" w:cstheme="majorBidi"/>
        </w:rPr>
      </w:pPr>
      <w:r>
        <w:rPr>
          <w:rFonts w:asciiTheme="majorBidi" w:hAnsiTheme="majorBidi" w:cstheme="majorBidi"/>
          <w:noProof/>
          <w:lang w:val="en-US" w:eastAsia="en-US"/>
        </w:rPr>
        <w:drawing>
          <wp:inline distT="0" distB="0" distL="0" distR="0">
            <wp:extent cx="5743575" cy="2657475"/>
            <wp:effectExtent l="19050" t="0" r="9525" b="0"/>
            <wp:docPr id="1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srcRect/>
                    <a:stretch>
                      <a:fillRect/>
                    </a:stretch>
                  </pic:blipFill>
                  <pic:spPr bwMode="auto">
                    <a:xfrm>
                      <a:off x="0" y="0"/>
                      <a:ext cx="5743575" cy="2657475"/>
                    </a:xfrm>
                    <a:prstGeom prst="rect">
                      <a:avLst/>
                    </a:prstGeom>
                    <a:noFill/>
                    <a:ln w="9525">
                      <a:noFill/>
                      <a:miter lim="800000"/>
                      <a:headEnd/>
                      <a:tailEnd/>
                    </a:ln>
                  </pic:spPr>
                </pic:pic>
              </a:graphicData>
            </a:graphic>
          </wp:inline>
        </w:drawing>
      </w:r>
    </w:p>
    <w:p w:rsidR="00656AC8" w:rsidRDefault="00656AC8" w:rsidP="00F80F9A">
      <w:pPr>
        <w:spacing w:line="360" w:lineRule="auto"/>
        <w:jc w:val="center"/>
        <w:rPr>
          <w:rFonts w:asciiTheme="majorBidi" w:hAnsiTheme="majorBidi" w:cstheme="majorBidi"/>
        </w:rPr>
      </w:pPr>
      <w:r w:rsidRPr="00B35D16">
        <w:rPr>
          <w:rFonts w:asciiTheme="majorBidi" w:hAnsiTheme="majorBidi" w:cstheme="majorBidi"/>
          <w:b/>
          <w:bCs/>
          <w:u w:val="single"/>
        </w:rPr>
        <w:t>Tableau.</w:t>
      </w:r>
      <w:r>
        <w:rPr>
          <w:rFonts w:asciiTheme="majorBidi" w:hAnsiTheme="majorBidi" w:cstheme="majorBidi"/>
          <w:b/>
          <w:bCs/>
          <w:u w:val="single"/>
        </w:rPr>
        <w:t>I.</w:t>
      </w:r>
      <w:r w:rsidRPr="00B35D16">
        <w:rPr>
          <w:rFonts w:asciiTheme="majorBidi" w:hAnsiTheme="majorBidi" w:cstheme="majorBidi"/>
          <w:b/>
          <w:bCs/>
          <w:u w:val="single"/>
        </w:rPr>
        <w:t xml:space="preserve">8. </w:t>
      </w:r>
      <w:r w:rsidRPr="00B35D16">
        <w:rPr>
          <w:rFonts w:asciiTheme="majorBidi" w:hAnsiTheme="majorBidi" w:cstheme="majorBidi" w:hint="eastAsia"/>
          <w:b/>
          <w:bCs/>
          <w:u w:val="single"/>
        </w:rPr>
        <w:t>P</w:t>
      </w:r>
      <w:r>
        <w:rPr>
          <w:rFonts w:asciiTheme="majorBidi" w:hAnsiTheme="majorBidi" w:cstheme="majorBidi" w:hint="eastAsia"/>
          <w:b/>
          <w:bCs/>
          <w:u w:val="single"/>
        </w:rPr>
        <w:t xml:space="preserve">erspective de production du </w:t>
      </w:r>
      <w:r>
        <w:rPr>
          <w:rFonts w:asciiTheme="majorBidi" w:hAnsiTheme="majorBidi" w:cstheme="majorBidi"/>
          <w:b/>
          <w:bCs/>
          <w:u w:val="single"/>
        </w:rPr>
        <w:t>g</w:t>
      </w:r>
      <w:r>
        <w:rPr>
          <w:rFonts w:asciiTheme="majorBidi" w:hAnsiTheme="majorBidi" w:cstheme="majorBidi" w:hint="eastAsia"/>
          <w:b/>
          <w:bCs/>
          <w:u w:val="single"/>
        </w:rPr>
        <w:t>as</w:t>
      </w:r>
      <w:r w:rsidRPr="00B35D16">
        <w:rPr>
          <w:rFonts w:asciiTheme="majorBidi" w:hAnsiTheme="majorBidi" w:cstheme="majorBidi" w:hint="eastAsia"/>
          <w:b/>
          <w:bCs/>
          <w:u w:val="single"/>
        </w:rPr>
        <w:t xml:space="preserve">oil </w:t>
      </w:r>
      <w:r w:rsidRPr="00B35D16">
        <w:rPr>
          <w:rFonts w:asciiTheme="majorBidi" w:hAnsiTheme="majorBidi" w:cstheme="majorBidi"/>
          <w:b/>
          <w:bCs/>
          <w:u w:val="single"/>
        </w:rPr>
        <w:t>(Tonne/</w:t>
      </w:r>
      <w:r>
        <w:rPr>
          <w:rFonts w:asciiTheme="majorBidi" w:hAnsiTheme="majorBidi" w:cstheme="majorBidi"/>
          <w:b/>
          <w:bCs/>
          <w:u w:val="single"/>
        </w:rPr>
        <w:t>an</w:t>
      </w:r>
      <w:r w:rsidRPr="00B35D16">
        <w:rPr>
          <w:rFonts w:asciiTheme="majorBidi" w:hAnsiTheme="majorBidi" w:cstheme="majorBidi"/>
          <w:b/>
          <w:bCs/>
          <w:u w:val="single"/>
        </w:rPr>
        <w:t xml:space="preserve">) </w:t>
      </w:r>
      <w:r w:rsidRPr="00B35D16">
        <w:rPr>
          <w:rFonts w:asciiTheme="majorBidi" w:hAnsiTheme="majorBidi" w:cstheme="majorBidi" w:hint="eastAsia"/>
          <w:b/>
          <w:bCs/>
          <w:u w:val="single"/>
        </w:rPr>
        <w:t>à court terme</w:t>
      </w:r>
      <w:r>
        <w:rPr>
          <w:rFonts w:asciiTheme="majorBidi" w:hAnsiTheme="majorBidi" w:cstheme="majorBidi"/>
          <w:b/>
          <w:bCs/>
          <w:u w:val="single"/>
        </w:rPr>
        <w:t xml:space="preserve">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F80F9A" w:rsidRDefault="00F80F9A" w:rsidP="00F80F9A">
      <w:pPr>
        <w:spacing w:line="360" w:lineRule="auto"/>
        <w:jc w:val="both"/>
        <w:rPr>
          <w:rFonts w:asciiTheme="majorBidi" w:hAnsiTheme="majorBidi" w:cstheme="majorBidi"/>
          <w:b/>
          <w:bCs/>
          <w:u w:val="single"/>
        </w:rPr>
      </w:pPr>
    </w:p>
    <w:p w:rsidR="00F80F9A" w:rsidRPr="00B35D16" w:rsidRDefault="00F80F9A" w:rsidP="00F80F9A">
      <w:pPr>
        <w:spacing w:line="360" w:lineRule="auto"/>
        <w:jc w:val="both"/>
        <w:rPr>
          <w:rFonts w:asciiTheme="majorBidi" w:hAnsiTheme="majorBidi" w:cstheme="majorBidi"/>
          <w:b/>
          <w:bCs/>
          <w:u w:val="single"/>
        </w:rPr>
      </w:pPr>
    </w:p>
    <w:p w:rsidR="00F80F9A" w:rsidRDefault="00F80F9A" w:rsidP="00F80F9A">
      <w:pPr>
        <w:spacing w:line="360" w:lineRule="auto"/>
        <w:jc w:val="both"/>
        <w:rPr>
          <w:rFonts w:asciiTheme="majorBidi" w:hAnsiTheme="majorBidi" w:cstheme="majorBidi"/>
        </w:rPr>
      </w:pPr>
    </w:p>
    <w:p w:rsidR="00F80F9A" w:rsidRDefault="00F80F9A" w:rsidP="00F80F9A">
      <w:pPr>
        <w:spacing w:line="360" w:lineRule="auto"/>
        <w:jc w:val="both"/>
        <w:rPr>
          <w:rFonts w:asciiTheme="majorBidi" w:hAnsiTheme="majorBidi" w:cstheme="majorBidi"/>
        </w:rPr>
      </w:pPr>
    </w:p>
    <w:p w:rsidR="00F80F9A" w:rsidRDefault="00F80F9A" w:rsidP="00F80F9A">
      <w:pPr>
        <w:spacing w:line="360" w:lineRule="auto"/>
        <w:jc w:val="both"/>
        <w:rPr>
          <w:rFonts w:asciiTheme="majorBidi" w:hAnsiTheme="majorBidi" w:cstheme="majorBidi"/>
        </w:rPr>
      </w:pPr>
    </w:p>
    <w:p w:rsidR="00656AC8" w:rsidRPr="00951C14" w:rsidRDefault="00656AC8" w:rsidP="00F80F9A">
      <w:pPr>
        <w:spacing w:line="360" w:lineRule="auto"/>
        <w:jc w:val="both"/>
        <w:rPr>
          <w:rFonts w:asciiTheme="majorBidi" w:hAnsiTheme="majorBidi" w:cstheme="majorBidi"/>
        </w:rPr>
      </w:pPr>
      <w:r w:rsidRPr="00951C14">
        <w:rPr>
          <w:rFonts w:asciiTheme="majorBidi" w:hAnsiTheme="majorBidi" w:cstheme="majorBidi"/>
        </w:rPr>
        <w:lastRenderedPageBreak/>
        <w:t xml:space="preserve">En 2007, il est prévu une offre supplémentaire de 140 000 tonnes/an de gas-oil représentant la production de la raffinerie d’Adrar de mai à décembre 2007. </w:t>
      </w:r>
    </w:p>
    <w:p w:rsidR="00656AC8" w:rsidRPr="00951C14" w:rsidRDefault="00656AC8" w:rsidP="00F80F9A">
      <w:pPr>
        <w:spacing w:line="360" w:lineRule="auto"/>
        <w:jc w:val="both"/>
        <w:rPr>
          <w:rFonts w:asciiTheme="majorBidi" w:hAnsiTheme="majorBidi" w:cstheme="majorBidi"/>
        </w:rPr>
      </w:pPr>
      <w:r w:rsidRPr="00951C14">
        <w:rPr>
          <w:rFonts w:asciiTheme="majorBidi" w:hAnsiTheme="majorBidi" w:cstheme="majorBidi"/>
        </w:rPr>
        <w:t>En 2008, avec le démarrage de la raffinerie de condensats prévu en  Août 2008, une augmentation de la production de 140 000 tonnes sera enregistrée représentant environ 4 mois de production.</w:t>
      </w:r>
    </w:p>
    <w:p w:rsidR="00656AC8" w:rsidRPr="00951C14" w:rsidRDefault="00656AC8" w:rsidP="00F80F9A">
      <w:pPr>
        <w:jc w:val="both"/>
        <w:rPr>
          <w:rFonts w:asciiTheme="majorBidi" w:hAnsiTheme="majorBidi" w:cstheme="majorBidi"/>
        </w:rPr>
      </w:pPr>
      <w:r w:rsidRPr="00951C14">
        <w:rPr>
          <w:rFonts w:asciiTheme="majorBidi" w:hAnsiTheme="majorBidi" w:cstheme="majorBidi"/>
        </w:rPr>
        <w:t>La capacité de production à partir de 2009 sera de 7 058 000 tonnes/an.</w:t>
      </w:r>
    </w:p>
    <w:p w:rsidR="00656AC8" w:rsidRPr="00880278" w:rsidRDefault="00656AC8" w:rsidP="00F80F9A">
      <w:pPr>
        <w:jc w:val="both"/>
        <w:rPr>
          <w:rFonts w:asciiTheme="majorBidi" w:hAnsiTheme="majorBidi" w:cstheme="majorBidi"/>
        </w:rPr>
      </w:pPr>
      <w:r>
        <w:rPr>
          <w:rFonts w:asciiTheme="majorBidi" w:hAnsiTheme="majorBidi" w:cstheme="majorBidi"/>
          <w:noProof/>
          <w:lang w:val="en-US" w:eastAsia="en-US"/>
        </w:rPr>
        <w:drawing>
          <wp:inline distT="0" distB="0" distL="0" distR="0">
            <wp:extent cx="5562600" cy="3162300"/>
            <wp:effectExtent l="19050" t="0" r="0" b="0"/>
            <wp:docPr id="1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srcRect/>
                    <a:stretch>
                      <a:fillRect/>
                    </a:stretch>
                  </pic:blipFill>
                  <pic:spPr bwMode="auto">
                    <a:xfrm>
                      <a:off x="0" y="0"/>
                      <a:ext cx="5562600" cy="3162300"/>
                    </a:xfrm>
                    <a:prstGeom prst="rect">
                      <a:avLst/>
                    </a:prstGeom>
                    <a:noFill/>
                    <a:ln w="9525">
                      <a:noFill/>
                      <a:miter lim="800000"/>
                      <a:headEnd/>
                      <a:tailEnd/>
                    </a:ln>
                  </pic:spPr>
                </pic:pic>
              </a:graphicData>
            </a:graphic>
          </wp:inline>
        </w:drawing>
      </w:r>
    </w:p>
    <w:p w:rsidR="00656AC8" w:rsidRDefault="00656AC8" w:rsidP="00F80F9A">
      <w:pPr>
        <w:spacing w:line="360" w:lineRule="auto"/>
        <w:jc w:val="center"/>
        <w:rPr>
          <w:rFonts w:asciiTheme="majorBidi" w:hAnsiTheme="majorBidi" w:cstheme="majorBidi"/>
        </w:rPr>
      </w:pPr>
      <w:r w:rsidRPr="00B35D16">
        <w:rPr>
          <w:rFonts w:asciiTheme="majorBidi" w:hAnsiTheme="majorBidi" w:cstheme="majorBidi"/>
          <w:b/>
          <w:bCs/>
          <w:u w:val="single"/>
        </w:rPr>
        <w:t>Tableau.</w:t>
      </w:r>
      <w:r>
        <w:rPr>
          <w:rFonts w:asciiTheme="majorBidi" w:hAnsiTheme="majorBidi" w:cstheme="majorBidi"/>
          <w:b/>
          <w:bCs/>
          <w:u w:val="single"/>
        </w:rPr>
        <w:t>I.</w:t>
      </w:r>
      <w:r w:rsidRPr="00B35D16">
        <w:rPr>
          <w:rFonts w:asciiTheme="majorBidi" w:hAnsiTheme="majorBidi" w:cstheme="majorBidi"/>
          <w:b/>
          <w:bCs/>
          <w:u w:val="single"/>
        </w:rPr>
        <w:t>9. P</w:t>
      </w:r>
      <w:r>
        <w:rPr>
          <w:rFonts w:asciiTheme="majorBidi" w:hAnsiTheme="majorBidi" w:cstheme="majorBidi"/>
          <w:b/>
          <w:bCs/>
          <w:u w:val="single"/>
        </w:rPr>
        <w:t>erspective de production du gas</w:t>
      </w:r>
      <w:r w:rsidRPr="00B35D16">
        <w:rPr>
          <w:rFonts w:asciiTheme="majorBidi" w:hAnsiTheme="majorBidi" w:cstheme="majorBidi"/>
          <w:b/>
          <w:bCs/>
          <w:u w:val="single"/>
        </w:rPr>
        <w:t>oil à moyen terme</w:t>
      </w:r>
      <w:r>
        <w:rPr>
          <w:rFonts w:asciiTheme="majorBidi" w:hAnsiTheme="majorBidi" w:cstheme="majorBidi"/>
          <w:b/>
          <w:bCs/>
          <w:u w:val="single"/>
        </w:rPr>
        <w:t xml:space="preserve">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F80F9A" w:rsidRPr="00B35D16" w:rsidRDefault="00F80F9A" w:rsidP="00F80F9A">
      <w:pPr>
        <w:spacing w:line="360" w:lineRule="auto"/>
        <w:jc w:val="both"/>
        <w:rPr>
          <w:rFonts w:asciiTheme="majorBidi" w:hAnsiTheme="majorBidi" w:cstheme="majorBidi"/>
        </w:rPr>
      </w:pPr>
    </w:p>
    <w:p w:rsidR="00656AC8" w:rsidRPr="00951C14" w:rsidRDefault="00656AC8" w:rsidP="00F80F9A">
      <w:pPr>
        <w:spacing w:line="360" w:lineRule="auto"/>
        <w:jc w:val="both"/>
        <w:rPr>
          <w:rFonts w:asciiTheme="majorBidi" w:hAnsiTheme="majorBidi" w:cstheme="majorBidi"/>
        </w:rPr>
      </w:pPr>
      <w:r w:rsidRPr="00951C14">
        <w:rPr>
          <w:rFonts w:asciiTheme="majorBidi" w:hAnsiTheme="majorBidi" w:cstheme="majorBidi"/>
        </w:rPr>
        <w:t>A partir de 2012, on enregistrera une augmentation de près de 35 % de la production nationale en Gas-oil, et qui sera aux spécifications européennes (sauf pour Adrar)</w:t>
      </w:r>
    </w:p>
    <w:p w:rsidR="00656AC8" w:rsidRPr="00951C14" w:rsidRDefault="00656AC8" w:rsidP="00F80F9A">
      <w:pPr>
        <w:spacing w:line="360" w:lineRule="auto"/>
        <w:jc w:val="both"/>
        <w:rPr>
          <w:rFonts w:asciiTheme="majorBidi" w:hAnsiTheme="majorBidi" w:cstheme="majorBidi"/>
        </w:rPr>
      </w:pPr>
      <w:r w:rsidRPr="00951C14">
        <w:rPr>
          <w:rFonts w:asciiTheme="majorBidi" w:hAnsiTheme="majorBidi" w:cstheme="majorBidi"/>
        </w:rPr>
        <w:t>A la raffinerie d’Alger, en plus de l’augmentation de la capacité du topping, il y aura la conversion du fuel (résidu atmosphérique) par hydrocra</w:t>
      </w:r>
      <w:r>
        <w:rPr>
          <w:rFonts w:asciiTheme="majorBidi" w:hAnsiTheme="majorBidi" w:cstheme="majorBidi"/>
        </w:rPr>
        <w:t>cking pour la production de gas</w:t>
      </w:r>
      <w:r w:rsidRPr="00951C14">
        <w:rPr>
          <w:rFonts w:asciiTheme="majorBidi" w:hAnsiTheme="majorBidi" w:cstheme="majorBidi"/>
        </w:rPr>
        <w:t>oil.</w:t>
      </w:r>
    </w:p>
    <w:p w:rsidR="00656AC8" w:rsidRDefault="00656AC8" w:rsidP="00F80F9A">
      <w:pPr>
        <w:jc w:val="center"/>
        <w:rPr>
          <w:rFonts w:asciiTheme="majorBidi" w:hAnsiTheme="majorBidi" w:cstheme="majorBidi"/>
          <w:sz w:val="28"/>
          <w:szCs w:val="28"/>
        </w:rPr>
      </w:pPr>
      <w:r>
        <w:rPr>
          <w:rFonts w:asciiTheme="majorBidi" w:hAnsiTheme="majorBidi" w:cstheme="majorBidi"/>
          <w:noProof/>
          <w:sz w:val="28"/>
          <w:szCs w:val="28"/>
          <w:lang w:val="en-US" w:eastAsia="en-US"/>
        </w:rPr>
        <w:drawing>
          <wp:inline distT="0" distB="0" distL="0" distR="0">
            <wp:extent cx="4876800" cy="2324100"/>
            <wp:effectExtent l="19050" t="0" r="0" b="0"/>
            <wp:docPr id="2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a:srcRect/>
                    <a:stretch>
                      <a:fillRect/>
                    </a:stretch>
                  </pic:blipFill>
                  <pic:spPr bwMode="auto">
                    <a:xfrm>
                      <a:off x="0" y="0"/>
                      <a:ext cx="4876800" cy="2324100"/>
                    </a:xfrm>
                    <a:prstGeom prst="rect">
                      <a:avLst/>
                    </a:prstGeom>
                    <a:noFill/>
                    <a:ln w="9525">
                      <a:noFill/>
                      <a:miter lim="800000"/>
                      <a:headEnd/>
                      <a:tailEnd/>
                    </a:ln>
                  </pic:spPr>
                </pic:pic>
              </a:graphicData>
            </a:graphic>
          </wp:inline>
        </w:drawing>
      </w:r>
    </w:p>
    <w:p w:rsidR="00656AC8" w:rsidRPr="00B35D16" w:rsidRDefault="00656AC8" w:rsidP="00F80F9A">
      <w:pPr>
        <w:jc w:val="center"/>
        <w:rPr>
          <w:rFonts w:asciiTheme="majorBidi" w:hAnsiTheme="majorBidi" w:cstheme="majorBidi"/>
          <w:b/>
          <w:bCs/>
          <w:u w:val="single"/>
        </w:rPr>
      </w:pPr>
      <w:r w:rsidRPr="00B35D16">
        <w:rPr>
          <w:rFonts w:asciiTheme="majorBidi" w:hAnsiTheme="majorBidi" w:cstheme="majorBidi"/>
          <w:b/>
          <w:bCs/>
          <w:u w:val="single"/>
        </w:rPr>
        <w:t>Tableau.</w:t>
      </w:r>
      <w:r>
        <w:rPr>
          <w:rFonts w:asciiTheme="majorBidi" w:hAnsiTheme="majorBidi" w:cstheme="majorBidi"/>
          <w:b/>
          <w:bCs/>
          <w:u w:val="single"/>
        </w:rPr>
        <w:t>I.</w:t>
      </w:r>
      <w:r w:rsidRPr="00B35D16">
        <w:rPr>
          <w:rFonts w:asciiTheme="majorBidi" w:hAnsiTheme="majorBidi" w:cstheme="majorBidi"/>
          <w:b/>
          <w:bCs/>
          <w:u w:val="single"/>
        </w:rPr>
        <w:t>10. Bases pour la fabrication du Diesel MI à partir de 2012</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656AC8" w:rsidRDefault="00656AC8" w:rsidP="00F80F9A">
      <w:pPr>
        <w:jc w:val="both"/>
        <w:rPr>
          <w:rFonts w:asciiTheme="majorBidi" w:hAnsiTheme="majorBidi" w:cstheme="majorBidi"/>
          <w:sz w:val="28"/>
          <w:szCs w:val="28"/>
        </w:rPr>
      </w:pPr>
      <w:r>
        <w:rPr>
          <w:rFonts w:asciiTheme="majorBidi" w:hAnsiTheme="majorBidi" w:cstheme="majorBidi"/>
          <w:noProof/>
          <w:sz w:val="28"/>
          <w:szCs w:val="28"/>
          <w:lang w:val="en-US" w:eastAsia="en-US"/>
        </w:rPr>
        <w:lastRenderedPageBreak/>
        <w:drawing>
          <wp:inline distT="0" distB="0" distL="0" distR="0">
            <wp:extent cx="5724525" cy="3390900"/>
            <wp:effectExtent l="19050" t="0" r="9525" b="0"/>
            <wp:docPr id="2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srcRect/>
                    <a:stretch>
                      <a:fillRect/>
                    </a:stretch>
                  </pic:blipFill>
                  <pic:spPr bwMode="auto">
                    <a:xfrm>
                      <a:off x="0" y="0"/>
                      <a:ext cx="5724525" cy="3390900"/>
                    </a:xfrm>
                    <a:prstGeom prst="rect">
                      <a:avLst/>
                    </a:prstGeom>
                    <a:noFill/>
                    <a:ln w="9525">
                      <a:noFill/>
                      <a:miter lim="800000"/>
                      <a:headEnd/>
                      <a:tailEnd/>
                    </a:ln>
                  </pic:spPr>
                </pic:pic>
              </a:graphicData>
            </a:graphic>
          </wp:inline>
        </w:drawing>
      </w:r>
    </w:p>
    <w:p w:rsidR="00656AC8" w:rsidRPr="00B35D16" w:rsidRDefault="00656AC8" w:rsidP="00F80F9A">
      <w:pPr>
        <w:spacing w:line="360" w:lineRule="auto"/>
        <w:jc w:val="center"/>
        <w:rPr>
          <w:rFonts w:asciiTheme="majorBidi" w:hAnsiTheme="majorBidi" w:cstheme="majorBidi"/>
          <w:b/>
          <w:bCs/>
          <w:u w:val="single"/>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B35D16">
        <w:rPr>
          <w:rFonts w:asciiTheme="majorBidi" w:hAnsiTheme="majorBidi" w:cstheme="majorBidi"/>
          <w:b/>
          <w:bCs/>
          <w:u w:val="single"/>
        </w:rPr>
        <w:t>1</w:t>
      </w:r>
      <w:r>
        <w:rPr>
          <w:rFonts w:asciiTheme="majorBidi" w:hAnsiTheme="majorBidi" w:cstheme="majorBidi"/>
          <w:b/>
          <w:bCs/>
          <w:u w:val="single"/>
        </w:rPr>
        <w:t>3</w:t>
      </w:r>
      <w:r w:rsidRPr="00B35D16">
        <w:rPr>
          <w:rFonts w:asciiTheme="majorBidi" w:hAnsiTheme="majorBidi" w:cstheme="majorBidi"/>
          <w:b/>
          <w:bCs/>
          <w:u w:val="single"/>
        </w:rPr>
        <w:t>. Scénario 1: prévoit une forte augmentation de la demande</w:t>
      </w:r>
      <w:r>
        <w:rPr>
          <w:rFonts w:asciiTheme="majorBidi" w:hAnsiTheme="majorBidi" w:cstheme="majorBidi"/>
          <w:b/>
          <w:bCs/>
          <w:u w:val="single"/>
        </w:rPr>
        <w:t xml:space="preserve">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656AC8" w:rsidRPr="00951C14" w:rsidRDefault="00656AC8" w:rsidP="00F80F9A">
      <w:pPr>
        <w:spacing w:line="360" w:lineRule="auto"/>
        <w:jc w:val="both"/>
        <w:rPr>
          <w:rFonts w:asciiTheme="majorBidi" w:hAnsiTheme="majorBidi" w:cstheme="majorBidi"/>
        </w:rPr>
      </w:pPr>
      <w:r w:rsidRPr="00951C14">
        <w:rPr>
          <w:rFonts w:asciiTheme="majorBidi" w:hAnsiTheme="majorBidi" w:cstheme="majorBidi"/>
        </w:rPr>
        <w:t xml:space="preserve">Selon cette courbe, on enregistre un déficit de 2008 jusqu’à fin 2011. A partir de 2012 date d’achèvement du programme de réhabilitation et </w:t>
      </w:r>
      <w:r>
        <w:rPr>
          <w:rFonts w:asciiTheme="majorBidi" w:hAnsiTheme="majorBidi" w:cstheme="majorBidi"/>
        </w:rPr>
        <w:t>d’adaptation un excédent en gas</w:t>
      </w:r>
      <w:r w:rsidRPr="00951C14">
        <w:rPr>
          <w:rFonts w:asciiTheme="majorBidi" w:hAnsiTheme="majorBidi" w:cstheme="majorBidi"/>
        </w:rPr>
        <w:t>oil sera enregistré jusqu’en 2014 (nouveau point de rupture).</w:t>
      </w:r>
    </w:p>
    <w:p w:rsidR="00656AC8" w:rsidRDefault="00656AC8" w:rsidP="00F80F9A">
      <w:pPr>
        <w:rPr>
          <w:rFonts w:asciiTheme="majorBidi" w:hAnsiTheme="majorBidi" w:cstheme="majorBidi"/>
          <w:sz w:val="28"/>
          <w:szCs w:val="28"/>
        </w:rPr>
      </w:pPr>
      <w:r>
        <w:rPr>
          <w:rFonts w:asciiTheme="majorBidi" w:hAnsiTheme="majorBidi" w:cstheme="majorBidi"/>
          <w:noProof/>
          <w:sz w:val="28"/>
          <w:szCs w:val="28"/>
          <w:lang w:val="en-US" w:eastAsia="en-US"/>
        </w:rPr>
        <w:drawing>
          <wp:inline distT="0" distB="0" distL="0" distR="0">
            <wp:extent cx="5457825" cy="3362325"/>
            <wp:effectExtent l="19050" t="0" r="9525" b="0"/>
            <wp:docPr id="2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a:srcRect/>
                    <a:stretch>
                      <a:fillRect/>
                    </a:stretch>
                  </pic:blipFill>
                  <pic:spPr bwMode="auto">
                    <a:xfrm>
                      <a:off x="0" y="0"/>
                      <a:ext cx="5457825" cy="3362325"/>
                    </a:xfrm>
                    <a:prstGeom prst="rect">
                      <a:avLst/>
                    </a:prstGeom>
                    <a:noFill/>
                    <a:ln w="9525">
                      <a:noFill/>
                      <a:miter lim="800000"/>
                      <a:headEnd/>
                      <a:tailEnd/>
                    </a:ln>
                  </pic:spPr>
                </pic:pic>
              </a:graphicData>
            </a:graphic>
          </wp:inline>
        </w:drawing>
      </w:r>
    </w:p>
    <w:p w:rsidR="00656AC8" w:rsidRPr="00951C14" w:rsidRDefault="00656AC8" w:rsidP="00F80F9A">
      <w:pPr>
        <w:spacing w:line="360" w:lineRule="auto"/>
        <w:jc w:val="center"/>
        <w:rPr>
          <w:rFonts w:asciiTheme="majorBidi" w:hAnsiTheme="majorBidi" w:cstheme="majorBidi"/>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3F18EC">
        <w:rPr>
          <w:rFonts w:asciiTheme="majorBidi" w:hAnsiTheme="majorBidi" w:cstheme="majorBidi"/>
          <w:b/>
          <w:bCs/>
          <w:u w:val="single"/>
        </w:rPr>
        <w:t xml:space="preserve">14. </w:t>
      </w:r>
      <w:r>
        <w:rPr>
          <w:rFonts w:asciiTheme="majorBidi" w:hAnsiTheme="majorBidi" w:cstheme="majorBidi"/>
          <w:b/>
          <w:bCs/>
          <w:u w:val="single"/>
        </w:rPr>
        <w:t>Scénario 2: Demande en gas</w:t>
      </w:r>
      <w:r w:rsidRPr="003F18EC">
        <w:rPr>
          <w:rFonts w:asciiTheme="majorBidi" w:hAnsiTheme="majorBidi" w:cstheme="majorBidi"/>
          <w:b/>
          <w:bCs/>
          <w:u w:val="single"/>
        </w:rPr>
        <w:t xml:space="preserve">oil à l’horizon 2020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656AC8" w:rsidRPr="00951C14" w:rsidRDefault="00656AC8" w:rsidP="00F80F9A">
      <w:pPr>
        <w:spacing w:line="360" w:lineRule="auto"/>
        <w:jc w:val="both"/>
        <w:rPr>
          <w:rFonts w:asciiTheme="majorBidi" w:hAnsiTheme="majorBidi" w:cstheme="majorBidi"/>
        </w:rPr>
      </w:pPr>
      <w:r w:rsidRPr="00951C14">
        <w:rPr>
          <w:rFonts w:asciiTheme="majorBidi" w:hAnsiTheme="majorBidi" w:cstheme="majorBidi"/>
        </w:rPr>
        <w:t>Les besoins en Gas-oil par région à l’horizon 2020 (Etude Axens pour SH-Aval en 2005) : Ouest (1 861 000 T), Centre (2 686 000 T), Est (2 942 000 T) et au Sud (1 477 000 T) soit une demande nationale de 8 966 000  tonnes.</w:t>
      </w:r>
    </w:p>
    <w:p w:rsidR="00656AC8" w:rsidRPr="0057195A" w:rsidRDefault="00656AC8" w:rsidP="00F80F9A">
      <w:pPr>
        <w:jc w:val="both"/>
        <w:rPr>
          <w:rFonts w:asciiTheme="majorBidi" w:hAnsiTheme="majorBidi" w:cstheme="majorBidi"/>
          <w:sz w:val="28"/>
          <w:szCs w:val="28"/>
        </w:rPr>
      </w:pPr>
    </w:p>
    <w:p w:rsidR="00656AC8" w:rsidRDefault="00656AC8" w:rsidP="00F80F9A">
      <w:pPr>
        <w:jc w:val="center"/>
        <w:rPr>
          <w:rFonts w:asciiTheme="majorBidi" w:hAnsiTheme="majorBidi" w:cstheme="majorBidi"/>
          <w:sz w:val="28"/>
          <w:szCs w:val="28"/>
        </w:rPr>
      </w:pPr>
      <w:r>
        <w:rPr>
          <w:rFonts w:asciiTheme="majorBidi" w:hAnsiTheme="majorBidi" w:cstheme="majorBidi"/>
          <w:noProof/>
          <w:sz w:val="28"/>
          <w:szCs w:val="28"/>
          <w:lang w:val="en-US" w:eastAsia="en-US"/>
        </w:rPr>
        <w:lastRenderedPageBreak/>
        <w:drawing>
          <wp:inline distT="0" distB="0" distL="0" distR="0">
            <wp:extent cx="5781675" cy="3124200"/>
            <wp:effectExtent l="19050" t="0" r="9525" b="0"/>
            <wp:docPr id="2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9"/>
                    <a:srcRect/>
                    <a:stretch>
                      <a:fillRect/>
                    </a:stretch>
                  </pic:blipFill>
                  <pic:spPr bwMode="auto">
                    <a:xfrm>
                      <a:off x="0" y="0"/>
                      <a:ext cx="5781675" cy="3124200"/>
                    </a:xfrm>
                    <a:prstGeom prst="rect">
                      <a:avLst/>
                    </a:prstGeom>
                    <a:noFill/>
                    <a:ln w="9525">
                      <a:noFill/>
                      <a:miter lim="800000"/>
                      <a:headEnd/>
                      <a:tailEnd/>
                    </a:ln>
                  </pic:spPr>
                </pic:pic>
              </a:graphicData>
            </a:graphic>
          </wp:inline>
        </w:drawing>
      </w:r>
    </w:p>
    <w:p w:rsidR="00656AC8" w:rsidRDefault="00656AC8" w:rsidP="00F80F9A">
      <w:pPr>
        <w:jc w:val="both"/>
        <w:rPr>
          <w:rFonts w:asciiTheme="majorBidi" w:hAnsiTheme="majorBidi" w:cstheme="majorBidi"/>
        </w:rPr>
      </w:pPr>
      <w:r w:rsidRPr="003F18EC">
        <w:rPr>
          <w:rFonts w:asciiTheme="majorBidi" w:hAnsiTheme="majorBidi" w:cstheme="majorBidi"/>
          <w:b/>
          <w:bCs/>
          <w:u w:val="single"/>
        </w:rPr>
        <w:t>Tableau.</w:t>
      </w:r>
      <w:r>
        <w:rPr>
          <w:rFonts w:asciiTheme="majorBidi" w:hAnsiTheme="majorBidi" w:cstheme="majorBidi"/>
          <w:b/>
          <w:bCs/>
          <w:u w:val="single"/>
        </w:rPr>
        <w:t>I.</w:t>
      </w:r>
      <w:r w:rsidRPr="003F18EC">
        <w:rPr>
          <w:rFonts w:asciiTheme="majorBidi" w:hAnsiTheme="majorBidi" w:cstheme="majorBidi"/>
          <w:b/>
          <w:bCs/>
          <w:u w:val="single"/>
        </w:rPr>
        <w:t xml:space="preserve">11. </w:t>
      </w:r>
      <w:r>
        <w:rPr>
          <w:rFonts w:asciiTheme="majorBidi" w:hAnsiTheme="majorBidi" w:cstheme="majorBidi"/>
          <w:b/>
          <w:bCs/>
          <w:u w:val="single"/>
        </w:rPr>
        <w:t>Répartition des ventes gas</w:t>
      </w:r>
      <w:r w:rsidRPr="003F18EC">
        <w:rPr>
          <w:rFonts w:asciiTheme="majorBidi" w:hAnsiTheme="majorBidi" w:cstheme="majorBidi"/>
          <w:b/>
          <w:bCs/>
          <w:u w:val="single"/>
        </w:rPr>
        <w:t>oil de 2000 à 2006  par Région</w:t>
      </w:r>
      <w:r>
        <w:rPr>
          <w:rFonts w:asciiTheme="majorBidi" w:hAnsiTheme="majorBidi" w:cstheme="majorBidi"/>
          <w:b/>
          <w:bCs/>
          <w:u w:val="single"/>
        </w:rPr>
        <w:t xml:space="preserve">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F80F9A" w:rsidRPr="003F18EC" w:rsidRDefault="00F80F9A" w:rsidP="00F80F9A">
      <w:pPr>
        <w:jc w:val="both"/>
        <w:rPr>
          <w:rFonts w:asciiTheme="majorBidi" w:hAnsiTheme="majorBidi" w:cstheme="majorBidi"/>
          <w:b/>
          <w:bCs/>
          <w:u w:val="single"/>
        </w:rPr>
      </w:pPr>
    </w:p>
    <w:p w:rsidR="00656AC8" w:rsidRDefault="00656AC8" w:rsidP="00F80F9A">
      <w:pPr>
        <w:jc w:val="center"/>
        <w:rPr>
          <w:rFonts w:asciiTheme="majorBidi" w:hAnsiTheme="majorBidi" w:cstheme="majorBidi"/>
          <w:sz w:val="28"/>
          <w:szCs w:val="28"/>
        </w:rPr>
      </w:pPr>
      <w:r>
        <w:rPr>
          <w:rFonts w:asciiTheme="majorBidi" w:hAnsiTheme="majorBidi" w:cstheme="majorBidi"/>
          <w:noProof/>
          <w:sz w:val="28"/>
          <w:szCs w:val="28"/>
          <w:lang w:val="en-US" w:eastAsia="en-US"/>
        </w:rPr>
        <w:drawing>
          <wp:inline distT="0" distB="0" distL="0" distR="0">
            <wp:extent cx="5705475" cy="3057525"/>
            <wp:effectExtent l="19050" t="0" r="9525" b="0"/>
            <wp:docPr id="2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srcRect/>
                    <a:stretch>
                      <a:fillRect/>
                    </a:stretch>
                  </pic:blipFill>
                  <pic:spPr bwMode="auto">
                    <a:xfrm>
                      <a:off x="0" y="0"/>
                      <a:ext cx="5705475" cy="3057525"/>
                    </a:xfrm>
                    <a:prstGeom prst="rect">
                      <a:avLst/>
                    </a:prstGeom>
                    <a:noFill/>
                    <a:ln w="9525">
                      <a:noFill/>
                      <a:miter lim="800000"/>
                      <a:headEnd/>
                      <a:tailEnd/>
                    </a:ln>
                  </pic:spPr>
                </pic:pic>
              </a:graphicData>
            </a:graphic>
          </wp:inline>
        </w:drawing>
      </w:r>
    </w:p>
    <w:p w:rsidR="00656AC8" w:rsidRPr="00951C14" w:rsidRDefault="00656AC8" w:rsidP="00F80F9A">
      <w:pPr>
        <w:jc w:val="both"/>
        <w:rPr>
          <w:rFonts w:asciiTheme="majorBidi" w:hAnsiTheme="majorBidi" w:cstheme="majorBidi"/>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3F18EC">
        <w:rPr>
          <w:rFonts w:asciiTheme="majorBidi" w:hAnsiTheme="majorBidi" w:cstheme="majorBidi"/>
          <w:b/>
          <w:bCs/>
          <w:u w:val="single"/>
        </w:rPr>
        <w:t xml:space="preserve">15. </w:t>
      </w:r>
      <w:r>
        <w:rPr>
          <w:rFonts w:asciiTheme="majorBidi" w:hAnsiTheme="majorBidi" w:cstheme="majorBidi"/>
          <w:b/>
          <w:bCs/>
          <w:u w:val="single"/>
        </w:rPr>
        <w:t>Répartition des ventes gas</w:t>
      </w:r>
      <w:r w:rsidRPr="003F18EC">
        <w:rPr>
          <w:rFonts w:asciiTheme="majorBidi" w:hAnsiTheme="majorBidi" w:cstheme="majorBidi"/>
          <w:b/>
          <w:bCs/>
          <w:u w:val="single"/>
        </w:rPr>
        <w:t>oil de 2000 à 2006  par Région</w:t>
      </w:r>
      <w:r>
        <w:rPr>
          <w:rFonts w:asciiTheme="majorBidi" w:hAnsiTheme="majorBidi" w:cstheme="majorBidi"/>
        </w:rPr>
        <w:t xml:space="preserve">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656AC8" w:rsidRDefault="00656AC8" w:rsidP="00F80F9A">
      <w:pPr>
        <w:jc w:val="center"/>
        <w:rPr>
          <w:rFonts w:asciiTheme="majorBidi" w:hAnsiTheme="majorBidi" w:cstheme="majorBidi"/>
          <w:sz w:val="28"/>
          <w:szCs w:val="28"/>
        </w:rPr>
      </w:pPr>
      <w:r>
        <w:rPr>
          <w:rFonts w:asciiTheme="majorBidi" w:hAnsiTheme="majorBidi" w:cstheme="majorBidi"/>
          <w:noProof/>
          <w:sz w:val="28"/>
          <w:szCs w:val="28"/>
          <w:lang w:val="en-US" w:eastAsia="en-US"/>
        </w:rPr>
        <w:lastRenderedPageBreak/>
        <w:drawing>
          <wp:inline distT="0" distB="0" distL="0" distR="0">
            <wp:extent cx="5934075" cy="3486150"/>
            <wp:effectExtent l="19050" t="0" r="9525" b="0"/>
            <wp:docPr id="2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srcRect/>
                    <a:stretch>
                      <a:fillRect/>
                    </a:stretch>
                  </pic:blipFill>
                  <pic:spPr bwMode="auto">
                    <a:xfrm>
                      <a:off x="0" y="0"/>
                      <a:ext cx="5934075" cy="3486150"/>
                    </a:xfrm>
                    <a:prstGeom prst="rect">
                      <a:avLst/>
                    </a:prstGeom>
                    <a:noFill/>
                    <a:ln w="9525">
                      <a:noFill/>
                      <a:miter lim="800000"/>
                      <a:headEnd/>
                      <a:tailEnd/>
                    </a:ln>
                  </pic:spPr>
                </pic:pic>
              </a:graphicData>
            </a:graphic>
          </wp:inline>
        </w:drawing>
      </w:r>
    </w:p>
    <w:p w:rsidR="00656AC8" w:rsidRDefault="00656AC8" w:rsidP="00F80F9A">
      <w:pPr>
        <w:jc w:val="center"/>
        <w:rPr>
          <w:rFonts w:asciiTheme="majorBidi" w:hAnsiTheme="majorBidi" w:cstheme="majorBidi"/>
        </w:rPr>
      </w:pPr>
      <w:r w:rsidRPr="003F18EC">
        <w:rPr>
          <w:rFonts w:asciiTheme="majorBidi" w:hAnsiTheme="majorBidi" w:cstheme="majorBidi"/>
          <w:b/>
          <w:bCs/>
          <w:u w:val="single"/>
        </w:rPr>
        <w:t>Tableau.</w:t>
      </w:r>
      <w:r>
        <w:rPr>
          <w:rFonts w:asciiTheme="majorBidi" w:hAnsiTheme="majorBidi" w:cstheme="majorBidi"/>
          <w:b/>
          <w:bCs/>
          <w:u w:val="single"/>
        </w:rPr>
        <w:t>I.</w:t>
      </w:r>
      <w:r w:rsidRPr="003F18EC">
        <w:rPr>
          <w:rFonts w:asciiTheme="majorBidi" w:hAnsiTheme="majorBidi" w:cstheme="majorBidi"/>
          <w:b/>
          <w:bCs/>
          <w:u w:val="single"/>
        </w:rPr>
        <w:t xml:space="preserve">12. </w:t>
      </w:r>
      <w:r>
        <w:rPr>
          <w:rFonts w:asciiTheme="majorBidi" w:hAnsiTheme="majorBidi" w:cstheme="majorBidi"/>
          <w:b/>
          <w:bCs/>
          <w:sz w:val="28"/>
          <w:szCs w:val="28"/>
          <w:u w:val="single"/>
        </w:rPr>
        <w:t>Consommation du gas</w:t>
      </w:r>
      <w:r w:rsidRPr="003F18EC">
        <w:rPr>
          <w:rFonts w:asciiTheme="majorBidi" w:hAnsiTheme="majorBidi" w:cstheme="majorBidi"/>
          <w:b/>
          <w:bCs/>
          <w:sz w:val="28"/>
          <w:szCs w:val="28"/>
          <w:u w:val="single"/>
        </w:rPr>
        <w:t xml:space="preserve">oil par Segments de marché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F80F9A" w:rsidRDefault="00F80F9A" w:rsidP="00F80F9A">
      <w:pPr>
        <w:jc w:val="both"/>
        <w:rPr>
          <w:rFonts w:asciiTheme="majorBidi" w:hAnsiTheme="majorBidi" w:cstheme="majorBidi"/>
        </w:rPr>
      </w:pPr>
    </w:p>
    <w:p w:rsidR="00F80F9A" w:rsidRPr="00951C14" w:rsidRDefault="00F80F9A" w:rsidP="00F80F9A">
      <w:pPr>
        <w:jc w:val="both"/>
        <w:rPr>
          <w:rFonts w:asciiTheme="majorBidi" w:hAnsiTheme="majorBidi" w:cstheme="majorBidi"/>
          <w:sz w:val="28"/>
          <w:szCs w:val="28"/>
        </w:rPr>
      </w:pPr>
    </w:p>
    <w:p w:rsidR="00656AC8" w:rsidRDefault="00656AC8" w:rsidP="00F80F9A">
      <w:pPr>
        <w:jc w:val="center"/>
        <w:rPr>
          <w:rFonts w:asciiTheme="majorBidi" w:hAnsiTheme="majorBidi" w:cstheme="majorBidi"/>
          <w:sz w:val="28"/>
          <w:szCs w:val="28"/>
        </w:rPr>
      </w:pPr>
      <w:r>
        <w:rPr>
          <w:rFonts w:asciiTheme="majorBidi" w:hAnsiTheme="majorBidi" w:cstheme="majorBidi"/>
          <w:noProof/>
          <w:sz w:val="28"/>
          <w:szCs w:val="28"/>
          <w:lang w:val="en-US" w:eastAsia="en-US"/>
        </w:rPr>
        <w:drawing>
          <wp:inline distT="0" distB="0" distL="0" distR="0">
            <wp:extent cx="5286375" cy="3762375"/>
            <wp:effectExtent l="19050" t="0" r="9525" b="0"/>
            <wp:docPr id="2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a:srcRect/>
                    <a:stretch>
                      <a:fillRect/>
                    </a:stretch>
                  </pic:blipFill>
                  <pic:spPr bwMode="auto">
                    <a:xfrm>
                      <a:off x="0" y="0"/>
                      <a:ext cx="5286375" cy="3762375"/>
                    </a:xfrm>
                    <a:prstGeom prst="rect">
                      <a:avLst/>
                    </a:prstGeom>
                    <a:noFill/>
                    <a:ln w="9525">
                      <a:noFill/>
                      <a:miter lim="800000"/>
                      <a:headEnd/>
                      <a:tailEnd/>
                    </a:ln>
                  </pic:spPr>
                </pic:pic>
              </a:graphicData>
            </a:graphic>
          </wp:inline>
        </w:drawing>
      </w:r>
    </w:p>
    <w:p w:rsidR="00656AC8" w:rsidRPr="00951C14" w:rsidRDefault="00656AC8" w:rsidP="00F80F9A">
      <w:pPr>
        <w:jc w:val="center"/>
        <w:rPr>
          <w:rFonts w:asciiTheme="majorBidi" w:hAnsiTheme="majorBidi" w:cstheme="majorBidi"/>
          <w:sz w:val="28"/>
          <w:szCs w:val="28"/>
        </w:rPr>
      </w:pPr>
      <w:r>
        <w:rPr>
          <w:rFonts w:asciiTheme="majorBidi" w:hAnsiTheme="majorBidi" w:cstheme="majorBidi"/>
          <w:b/>
          <w:bCs/>
          <w:u w:val="single"/>
        </w:rPr>
        <w:t>Figure</w:t>
      </w:r>
      <w:r w:rsidRPr="00B701BA">
        <w:rPr>
          <w:rFonts w:asciiTheme="majorBidi" w:hAnsiTheme="majorBidi" w:cstheme="majorBidi"/>
          <w:b/>
          <w:bCs/>
          <w:u w:val="single"/>
        </w:rPr>
        <w:t>.</w:t>
      </w:r>
      <w:r>
        <w:rPr>
          <w:rFonts w:asciiTheme="majorBidi" w:hAnsiTheme="majorBidi" w:cstheme="majorBidi"/>
          <w:b/>
          <w:bCs/>
          <w:u w:val="single"/>
        </w:rPr>
        <w:t>I.</w:t>
      </w:r>
      <w:r w:rsidRPr="003F18EC">
        <w:rPr>
          <w:rFonts w:asciiTheme="majorBidi" w:hAnsiTheme="majorBidi" w:cstheme="majorBidi"/>
          <w:b/>
          <w:bCs/>
          <w:u w:val="single"/>
        </w:rPr>
        <w:t xml:space="preserve">16. </w:t>
      </w:r>
      <w:r w:rsidRPr="003F18EC">
        <w:rPr>
          <w:rFonts w:asciiTheme="majorBidi" w:hAnsiTheme="majorBidi" w:cstheme="majorBidi"/>
          <w:b/>
          <w:bCs/>
          <w:sz w:val="28"/>
          <w:szCs w:val="28"/>
          <w:u w:val="single"/>
        </w:rPr>
        <w:t xml:space="preserve">Consommation du </w:t>
      </w:r>
      <w:r>
        <w:rPr>
          <w:rFonts w:asciiTheme="majorBidi" w:hAnsiTheme="majorBidi" w:cstheme="majorBidi"/>
          <w:b/>
          <w:bCs/>
          <w:sz w:val="28"/>
          <w:szCs w:val="28"/>
          <w:u w:val="single"/>
        </w:rPr>
        <w:t>gas</w:t>
      </w:r>
      <w:r w:rsidRPr="003F18EC">
        <w:rPr>
          <w:rFonts w:asciiTheme="majorBidi" w:hAnsiTheme="majorBidi" w:cstheme="majorBidi"/>
          <w:b/>
          <w:bCs/>
          <w:sz w:val="28"/>
          <w:szCs w:val="28"/>
          <w:u w:val="single"/>
        </w:rPr>
        <w:t>oil par Segments de marché</w:t>
      </w:r>
      <w:r>
        <w:rPr>
          <w:rFonts w:asciiTheme="majorBidi" w:hAnsiTheme="majorBidi" w:cstheme="majorBidi"/>
          <w:sz w:val="28"/>
          <w:szCs w:val="28"/>
        </w:rPr>
        <w:t xml:space="preserve"> </w:t>
      </w:r>
      <w:r w:rsidRPr="00C96A2F">
        <w:rPr>
          <w:rFonts w:asciiTheme="majorBidi" w:hAnsiTheme="majorBidi" w:cstheme="majorBidi"/>
        </w:rPr>
        <w:t>[</w:t>
      </w:r>
      <w:r>
        <w:rPr>
          <w:rFonts w:asciiTheme="majorBidi" w:hAnsiTheme="majorBidi" w:cstheme="majorBidi"/>
        </w:rPr>
        <w:t>33</w:t>
      </w:r>
      <w:r w:rsidRPr="00C96A2F">
        <w:rPr>
          <w:rFonts w:asciiTheme="majorBidi" w:hAnsiTheme="majorBidi" w:cstheme="majorBidi"/>
        </w:rPr>
        <w:t>]</w:t>
      </w:r>
    </w:p>
    <w:p w:rsidR="00656AC8" w:rsidRPr="00951C14" w:rsidRDefault="00656AC8" w:rsidP="00F80F9A">
      <w:pPr>
        <w:tabs>
          <w:tab w:val="left" w:pos="5475"/>
        </w:tabs>
        <w:jc w:val="both"/>
        <w:rPr>
          <w:rFonts w:asciiTheme="majorBidi" w:hAnsiTheme="majorBidi" w:cstheme="majorBidi"/>
          <w:sz w:val="28"/>
          <w:szCs w:val="28"/>
        </w:rPr>
      </w:pPr>
    </w:p>
    <w:p w:rsidR="005817A3" w:rsidRPr="009429F7" w:rsidRDefault="00BE3358" w:rsidP="00F80F9A">
      <w:pPr>
        <w:spacing w:line="360" w:lineRule="auto"/>
        <w:jc w:val="both"/>
        <w:rPr>
          <w:sz w:val="26"/>
          <w:szCs w:val="26"/>
        </w:rPr>
      </w:pPr>
      <w:r w:rsidRPr="0044031A">
        <w:rPr>
          <w:sz w:val="26"/>
          <w:szCs w:val="26"/>
        </w:rPr>
        <w:t xml:space="preserve"> </w:t>
      </w:r>
    </w:p>
    <w:sectPr w:rsidR="005817A3" w:rsidRPr="009429F7" w:rsidSect="007A7DD2">
      <w:headerReference w:type="default" r:id="rId63"/>
      <w:footerReference w:type="even" r:id="rId64"/>
      <w:footerReference w:type="default" r:id="rId65"/>
      <w:pgSz w:w="11907" w:h="16840" w:code="9"/>
      <w:pgMar w:top="1134" w:right="1134" w:bottom="1134" w:left="1418" w:header="720" w:footer="720" w:gutter="284"/>
      <w:pgNumType w:start="3"/>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77C0B" w:rsidRDefault="00A77C0B">
      <w:r>
        <w:separator/>
      </w:r>
    </w:p>
  </w:endnote>
  <w:endnote w:type="continuationSeparator" w:id="1">
    <w:p w:rsidR="00A77C0B" w:rsidRDefault="00A77C0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03E" w:rsidRDefault="005A2BCE" w:rsidP="00183572">
    <w:pPr>
      <w:pStyle w:val="Pieddepage"/>
      <w:framePr w:wrap="around" w:vAnchor="text" w:hAnchor="margin" w:xAlign="center" w:y="1"/>
      <w:rPr>
        <w:rStyle w:val="Numrodepage"/>
      </w:rPr>
    </w:pPr>
    <w:r>
      <w:rPr>
        <w:rStyle w:val="Numrodepage"/>
      </w:rPr>
      <w:fldChar w:fldCharType="begin"/>
    </w:r>
    <w:r w:rsidR="00E6403E">
      <w:rPr>
        <w:rStyle w:val="Numrodepage"/>
      </w:rPr>
      <w:instrText xml:space="preserve">PAGE  </w:instrText>
    </w:r>
    <w:r>
      <w:rPr>
        <w:rStyle w:val="Numrodepage"/>
      </w:rPr>
      <w:fldChar w:fldCharType="end"/>
    </w:r>
  </w:p>
  <w:p w:rsidR="00E6403E" w:rsidRDefault="00E6403E">
    <w:pPr>
      <w:pStyle w:val="Pieddepag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03E" w:rsidRPr="00BD4E97" w:rsidRDefault="005A2BCE" w:rsidP="00183572">
    <w:pPr>
      <w:pStyle w:val="Pieddepage"/>
      <w:framePr w:wrap="around" w:vAnchor="text" w:hAnchor="margin" w:xAlign="center" w:y="1"/>
      <w:rPr>
        <w:rStyle w:val="Numrodepage"/>
        <w:sz w:val="26"/>
        <w:szCs w:val="26"/>
      </w:rPr>
    </w:pPr>
    <w:r w:rsidRPr="00BD4E97">
      <w:rPr>
        <w:rStyle w:val="Numrodepage"/>
        <w:sz w:val="26"/>
        <w:szCs w:val="26"/>
      </w:rPr>
      <w:fldChar w:fldCharType="begin"/>
    </w:r>
    <w:r w:rsidR="00E6403E" w:rsidRPr="00BD4E97">
      <w:rPr>
        <w:rStyle w:val="Numrodepage"/>
        <w:sz w:val="26"/>
        <w:szCs w:val="26"/>
      </w:rPr>
      <w:instrText xml:space="preserve">PAGE  </w:instrText>
    </w:r>
    <w:r w:rsidRPr="00BD4E97">
      <w:rPr>
        <w:rStyle w:val="Numrodepage"/>
        <w:sz w:val="26"/>
        <w:szCs w:val="26"/>
      </w:rPr>
      <w:fldChar w:fldCharType="separate"/>
    </w:r>
    <w:r w:rsidR="007B2A98">
      <w:rPr>
        <w:rStyle w:val="Numrodepage"/>
        <w:noProof/>
        <w:sz w:val="26"/>
        <w:szCs w:val="26"/>
      </w:rPr>
      <w:t>34</w:t>
    </w:r>
    <w:r w:rsidRPr="00BD4E97">
      <w:rPr>
        <w:rStyle w:val="Numrodepage"/>
        <w:sz w:val="26"/>
        <w:szCs w:val="26"/>
      </w:rPr>
      <w:fldChar w:fldCharType="end"/>
    </w:r>
  </w:p>
  <w:p w:rsidR="00E6403E" w:rsidRPr="003E4ABB" w:rsidRDefault="00065600" w:rsidP="003E4ABB">
    <w:pPr>
      <w:pStyle w:val="Pieddepage"/>
      <w:pBdr>
        <w:top w:val="single" w:sz="4" w:space="1" w:color="auto"/>
      </w:pBdr>
      <w:rPr>
        <w:b/>
        <w:bCs/>
        <w:i/>
        <w:iCs/>
        <w:sz w:val="26"/>
        <w:szCs w:val="26"/>
      </w:rPr>
    </w:pPr>
    <w:r>
      <w:rPr>
        <w:b/>
        <w:bCs/>
        <w:i/>
        <w:iCs/>
        <w:sz w:val="26"/>
        <w:szCs w:val="26"/>
      </w:rPr>
      <w:t xml:space="preserve">Mémoire de Magister                        </w:t>
    </w:r>
    <w:r w:rsidR="00E6403E" w:rsidRPr="003E4ABB">
      <w:rPr>
        <w:b/>
        <w:bCs/>
        <w:i/>
        <w:iCs/>
        <w:sz w:val="26"/>
        <w:szCs w:val="26"/>
      </w:rPr>
      <w:t xml:space="preserve">                     </w:t>
    </w:r>
    <w:r w:rsidR="003E4ABB">
      <w:rPr>
        <w:b/>
        <w:bCs/>
        <w:i/>
        <w:iCs/>
        <w:sz w:val="26"/>
        <w:szCs w:val="26"/>
      </w:rPr>
      <w:t xml:space="preserve">       </w:t>
    </w:r>
    <w:r w:rsidR="00E6403E" w:rsidRPr="003E4ABB">
      <w:rPr>
        <w:b/>
        <w:bCs/>
        <w:i/>
        <w:iCs/>
        <w:sz w:val="26"/>
        <w:szCs w:val="26"/>
      </w:rPr>
      <w:t xml:space="preserve">                                            2011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77C0B" w:rsidRDefault="00A77C0B">
      <w:r>
        <w:separator/>
      </w:r>
    </w:p>
  </w:footnote>
  <w:footnote w:type="continuationSeparator" w:id="1">
    <w:p w:rsidR="00A77C0B" w:rsidRDefault="00A77C0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6403E" w:rsidRPr="003E4ABB" w:rsidRDefault="00E6403E" w:rsidP="00B335D6">
    <w:pPr>
      <w:pStyle w:val="En-tte"/>
      <w:pBdr>
        <w:bottom w:val="single" w:sz="4" w:space="1" w:color="auto"/>
      </w:pBdr>
      <w:rPr>
        <w:b/>
        <w:bCs/>
        <w:i/>
        <w:iCs/>
        <w:sz w:val="26"/>
        <w:szCs w:val="26"/>
      </w:rPr>
    </w:pPr>
    <w:r w:rsidRPr="003E4ABB">
      <w:rPr>
        <w:b/>
        <w:bCs/>
        <w:i/>
        <w:iCs/>
        <w:sz w:val="26"/>
        <w:szCs w:val="26"/>
      </w:rPr>
      <w:t xml:space="preserve">                                                                                                                            Le gasoil</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FF4733"/>
    <w:multiLevelType w:val="multilevel"/>
    <w:tmpl w:val="5D8E6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B1B6A74"/>
    <w:multiLevelType w:val="hybridMultilevel"/>
    <w:tmpl w:val="76AC0374"/>
    <w:lvl w:ilvl="0" w:tplc="040C000B">
      <w:start w:val="1"/>
      <w:numFmt w:val="bullet"/>
      <w:lvlText w:val=""/>
      <w:lvlJc w:val="left"/>
      <w:pPr>
        <w:tabs>
          <w:tab w:val="num" w:pos="1260"/>
        </w:tabs>
        <w:ind w:left="1260" w:hanging="360"/>
      </w:pPr>
      <w:rPr>
        <w:rFonts w:ascii="Wingdings" w:hAnsi="Wingdings" w:hint="default"/>
      </w:rPr>
    </w:lvl>
    <w:lvl w:ilvl="1" w:tplc="040C0003" w:tentative="1">
      <w:start w:val="1"/>
      <w:numFmt w:val="bullet"/>
      <w:lvlText w:val="o"/>
      <w:lvlJc w:val="left"/>
      <w:pPr>
        <w:tabs>
          <w:tab w:val="num" w:pos="1980"/>
        </w:tabs>
        <w:ind w:left="1980" w:hanging="360"/>
      </w:pPr>
      <w:rPr>
        <w:rFonts w:ascii="Courier New" w:hAnsi="Courier New" w:cs="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cs="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cs="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2">
    <w:nsid w:val="2EC45B92"/>
    <w:multiLevelType w:val="multilevel"/>
    <w:tmpl w:val="6E82D2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4874BC6"/>
    <w:multiLevelType w:val="multilevel"/>
    <w:tmpl w:val="7B2CC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CD03483"/>
    <w:multiLevelType w:val="multilevel"/>
    <w:tmpl w:val="7EB0B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17A3287"/>
    <w:multiLevelType w:val="hybridMultilevel"/>
    <w:tmpl w:val="0D446DA8"/>
    <w:lvl w:ilvl="0" w:tplc="2FD2EB8C">
      <w:numFmt w:val="bullet"/>
      <w:lvlText w:val="-"/>
      <w:lvlJc w:val="left"/>
      <w:pPr>
        <w:ind w:left="720" w:hanging="360"/>
      </w:pPr>
      <w:rPr>
        <w:rFonts w:ascii="Times New Roman" w:eastAsia="Calibri"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434A2110"/>
    <w:multiLevelType w:val="multilevel"/>
    <w:tmpl w:val="24A63B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65814CE3"/>
    <w:multiLevelType w:val="multilevel"/>
    <w:tmpl w:val="E7460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765C7A80"/>
    <w:multiLevelType w:val="hybridMultilevel"/>
    <w:tmpl w:val="DD92BD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766146D4"/>
    <w:multiLevelType w:val="hybridMultilevel"/>
    <w:tmpl w:val="6E6E157C"/>
    <w:lvl w:ilvl="0" w:tplc="E8B4ECBC">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79A619A4"/>
    <w:multiLevelType w:val="multilevel"/>
    <w:tmpl w:val="95988B0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0"/>
  </w:num>
  <w:num w:numId="3">
    <w:abstractNumId w:val="10"/>
  </w:num>
  <w:num w:numId="4">
    <w:abstractNumId w:val="4"/>
  </w:num>
  <w:num w:numId="5">
    <w:abstractNumId w:val="7"/>
  </w:num>
  <w:num w:numId="6">
    <w:abstractNumId w:val="3"/>
  </w:num>
  <w:num w:numId="7">
    <w:abstractNumId w:val="1"/>
  </w:num>
  <w:num w:numId="8">
    <w:abstractNumId w:val="8"/>
  </w:num>
  <w:num w:numId="9">
    <w:abstractNumId w:val="6"/>
  </w:num>
  <w:num w:numId="10">
    <w:abstractNumId w:val="2"/>
  </w:num>
  <w:num w:numId="11">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hyphenationZone w:val="425"/>
  <w:characterSpacingControl w:val="doNotCompress"/>
  <w:footnotePr>
    <w:footnote w:id="0"/>
    <w:footnote w:id="1"/>
  </w:footnotePr>
  <w:endnotePr>
    <w:endnote w:id="0"/>
    <w:endnote w:id="1"/>
  </w:endnotePr>
  <w:compat/>
  <w:rsids>
    <w:rsidRoot w:val="009429F7"/>
    <w:rsid w:val="000409C1"/>
    <w:rsid w:val="00065600"/>
    <w:rsid w:val="000B768D"/>
    <w:rsid w:val="00183572"/>
    <w:rsid w:val="001B01BD"/>
    <w:rsid w:val="001E31A4"/>
    <w:rsid w:val="00224F3A"/>
    <w:rsid w:val="00342FEB"/>
    <w:rsid w:val="0037500C"/>
    <w:rsid w:val="003919A5"/>
    <w:rsid w:val="003A2822"/>
    <w:rsid w:val="003C3542"/>
    <w:rsid w:val="003E3010"/>
    <w:rsid w:val="003E4ABB"/>
    <w:rsid w:val="00454DBE"/>
    <w:rsid w:val="0048328D"/>
    <w:rsid w:val="005817A3"/>
    <w:rsid w:val="005A2BCE"/>
    <w:rsid w:val="00613B32"/>
    <w:rsid w:val="00627A82"/>
    <w:rsid w:val="00656AC8"/>
    <w:rsid w:val="0071187C"/>
    <w:rsid w:val="00760019"/>
    <w:rsid w:val="00776450"/>
    <w:rsid w:val="007A7DD2"/>
    <w:rsid w:val="007B2A98"/>
    <w:rsid w:val="00817440"/>
    <w:rsid w:val="00824BF3"/>
    <w:rsid w:val="008451CC"/>
    <w:rsid w:val="0085688B"/>
    <w:rsid w:val="0089233F"/>
    <w:rsid w:val="008C2140"/>
    <w:rsid w:val="00921659"/>
    <w:rsid w:val="009429F7"/>
    <w:rsid w:val="00944839"/>
    <w:rsid w:val="0098240B"/>
    <w:rsid w:val="00995F8D"/>
    <w:rsid w:val="009F50E9"/>
    <w:rsid w:val="00A77C0B"/>
    <w:rsid w:val="00AF7B40"/>
    <w:rsid w:val="00B052D4"/>
    <w:rsid w:val="00B1726D"/>
    <w:rsid w:val="00B32DAF"/>
    <w:rsid w:val="00B335D6"/>
    <w:rsid w:val="00BA0AFA"/>
    <w:rsid w:val="00BD4E97"/>
    <w:rsid w:val="00BE3358"/>
    <w:rsid w:val="00CB5746"/>
    <w:rsid w:val="00CD04D1"/>
    <w:rsid w:val="00CE4B33"/>
    <w:rsid w:val="00D0275E"/>
    <w:rsid w:val="00D4000B"/>
    <w:rsid w:val="00DE1E2E"/>
    <w:rsid w:val="00E6403E"/>
    <w:rsid w:val="00EA5823"/>
    <w:rsid w:val="00F531EB"/>
    <w:rsid w:val="00F80F9A"/>
    <w:rsid w:val="00F81EC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3358"/>
    <w:rPr>
      <w:sz w:val="24"/>
      <w:szCs w:val="24"/>
      <w:lang w:val="fr-FR"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rsid w:val="00BE3358"/>
    <w:rPr>
      <w:sz w:val="28"/>
      <w:szCs w:val="28"/>
    </w:rPr>
  </w:style>
  <w:style w:type="paragraph" w:styleId="Corpsdetexte2">
    <w:name w:val="Body Text 2"/>
    <w:basedOn w:val="Normal"/>
    <w:rsid w:val="00BE3358"/>
    <w:pPr>
      <w:spacing w:after="120" w:line="480" w:lineRule="auto"/>
    </w:pPr>
  </w:style>
  <w:style w:type="paragraph" w:styleId="En-tte">
    <w:name w:val="header"/>
    <w:basedOn w:val="Normal"/>
    <w:link w:val="En-tteCar"/>
    <w:uiPriority w:val="99"/>
    <w:rsid w:val="00B335D6"/>
    <w:pPr>
      <w:tabs>
        <w:tab w:val="center" w:pos="4536"/>
        <w:tab w:val="right" w:pos="9072"/>
      </w:tabs>
    </w:pPr>
  </w:style>
  <w:style w:type="paragraph" w:styleId="Pieddepage">
    <w:name w:val="footer"/>
    <w:basedOn w:val="Normal"/>
    <w:link w:val="PieddepageCar"/>
    <w:uiPriority w:val="99"/>
    <w:rsid w:val="00B335D6"/>
    <w:pPr>
      <w:tabs>
        <w:tab w:val="center" w:pos="4536"/>
        <w:tab w:val="right" w:pos="9072"/>
      </w:tabs>
    </w:pPr>
  </w:style>
  <w:style w:type="character" w:styleId="Numrodepage">
    <w:name w:val="page number"/>
    <w:basedOn w:val="Policepardfaut"/>
    <w:rsid w:val="00B335D6"/>
  </w:style>
  <w:style w:type="character" w:customStyle="1" w:styleId="shorttext1">
    <w:name w:val="short_text1"/>
    <w:basedOn w:val="Policepardfaut"/>
    <w:rsid w:val="00656AC8"/>
    <w:rPr>
      <w:sz w:val="29"/>
      <w:szCs w:val="29"/>
    </w:rPr>
  </w:style>
  <w:style w:type="paragraph" w:styleId="Paragraphedeliste">
    <w:name w:val="List Paragraph"/>
    <w:basedOn w:val="Normal"/>
    <w:uiPriority w:val="34"/>
    <w:qFormat/>
    <w:rsid w:val="00656AC8"/>
    <w:pPr>
      <w:spacing w:after="200" w:line="276" w:lineRule="auto"/>
      <w:ind w:left="720"/>
      <w:contextualSpacing/>
    </w:pPr>
    <w:rPr>
      <w:rFonts w:ascii="Calibri" w:eastAsia="Calibri" w:hAnsi="Calibri" w:cs="Arial"/>
      <w:sz w:val="22"/>
      <w:szCs w:val="22"/>
      <w:lang w:eastAsia="en-US"/>
    </w:rPr>
  </w:style>
  <w:style w:type="character" w:customStyle="1" w:styleId="mw-headline">
    <w:name w:val="mw-headline"/>
    <w:basedOn w:val="Policepardfaut"/>
    <w:rsid w:val="00656AC8"/>
  </w:style>
  <w:style w:type="paragraph" w:styleId="NormalWeb">
    <w:name w:val="Normal (Web)"/>
    <w:basedOn w:val="Normal"/>
    <w:uiPriority w:val="99"/>
    <w:unhideWhenUsed/>
    <w:rsid w:val="00656AC8"/>
    <w:pPr>
      <w:spacing w:before="100" w:beforeAutospacing="1" w:after="100" w:afterAutospacing="1"/>
    </w:pPr>
  </w:style>
  <w:style w:type="paragraph" w:styleId="Textedebulles">
    <w:name w:val="Balloon Text"/>
    <w:basedOn w:val="Normal"/>
    <w:link w:val="TextedebullesCar"/>
    <w:uiPriority w:val="99"/>
    <w:unhideWhenUsed/>
    <w:rsid w:val="00656AC8"/>
    <w:rPr>
      <w:rFonts w:ascii="Tahoma" w:eastAsia="Calibri" w:hAnsi="Tahoma" w:cs="Tahoma"/>
      <w:sz w:val="16"/>
      <w:szCs w:val="16"/>
      <w:lang w:eastAsia="en-US"/>
    </w:rPr>
  </w:style>
  <w:style w:type="character" w:customStyle="1" w:styleId="TextedebullesCar">
    <w:name w:val="Texte de bulles Car"/>
    <w:basedOn w:val="Policepardfaut"/>
    <w:link w:val="Textedebulles"/>
    <w:uiPriority w:val="99"/>
    <w:rsid w:val="00656AC8"/>
    <w:rPr>
      <w:rFonts w:ascii="Tahoma" w:eastAsia="Calibri" w:hAnsi="Tahoma" w:cs="Tahoma"/>
      <w:sz w:val="16"/>
      <w:szCs w:val="16"/>
      <w:lang w:val="fr-FR"/>
    </w:rPr>
  </w:style>
  <w:style w:type="character" w:customStyle="1" w:styleId="longtext1">
    <w:name w:val="long_text1"/>
    <w:basedOn w:val="Policepardfaut"/>
    <w:rsid w:val="00656AC8"/>
    <w:rPr>
      <w:sz w:val="20"/>
      <w:szCs w:val="20"/>
    </w:rPr>
  </w:style>
  <w:style w:type="character" w:customStyle="1" w:styleId="mediumtext1">
    <w:name w:val="medium_text1"/>
    <w:basedOn w:val="Policepardfaut"/>
    <w:rsid w:val="00656AC8"/>
    <w:rPr>
      <w:sz w:val="24"/>
      <w:szCs w:val="24"/>
    </w:rPr>
  </w:style>
  <w:style w:type="character" w:styleId="Lienhypertexte">
    <w:name w:val="Hyperlink"/>
    <w:basedOn w:val="Policepardfaut"/>
    <w:uiPriority w:val="99"/>
    <w:unhideWhenUsed/>
    <w:rsid w:val="00656AC8"/>
    <w:rPr>
      <w:color w:val="2200CC"/>
      <w:u w:val="single"/>
    </w:rPr>
  </w:style>
  <w:style w:type="table" w:styleId="Grilledutableau">
    <w:name w:val="Table Grid"/>
    <w:basedOn w:val="TableauNormal"/>
    <w:uiPriority w:val="59"/>
    <w:rsid w:val="00656AC8"/>
    <w:rPr>
      <w:rFonts w:asciiTheme="minorHAnsi" w:eastAsiaTheme="minorHAnsi" w:hAnsiTheme="minorHAnsi" w:cstheme="minorBidi"/>
      <w:sz w:val="22"/>
      <w:szCs w:val="22"/>
      <w:lang w:val="fr-F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En-tteCar">
    <w:name w:val="En-tête Car"/>
    <w:basedOn w:val="Policepardfaut"/>
    <w:link w:val="En-tte"/>
    <w:uiPriority w:val="99"/>
    <w:rsid w:val="00656AC8"/>
    <w:rPr>
      <w:sz w:val="24"/>
      <w:szCs w:val="24"/>
      <w:lang w:val="fr-FR" w:eastAsia="fr-FR"/>
    </w:rPr>
  </w:style>
  <w:style w:type="character" w:customStyle="1" w:styleId="PieddepageCar">
    <w:name w:val="Pied de page Car"/>
    <w:basedOn w:val="Policepardfaut"/>
    <w:link w:val="Pieddepage"/>
    <w:uiPriority w:val="99"/>
    <w:rsid w:val="00656AC8"/>
    <w:rPr>
      <w:sz w:val="24"/>
      <w:szCs w:val="24"/>
      <w:lang w:val="fr-FR" w:eastAsia="fr-FR"/>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fr.wikipedia.org/wiki/Chemin%C3%A9e" TargetMode="Externa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hyperlink" Target="http://fr.wikipedia.org/wiki/OGM" TargetMode="External"/><Relationship Id="rId21" Type="http://schemas.openxmlformats.org/officeDocument/2006/relationships/hyperlink" Target="http://fr.wikipedia.org/wiki/Lit_fluidis%C3%A9" TargetMode="External"/><Relationship Id="rId34" Type="http://schemas.openxmlformats.org/officeDocument/2006/relationships/hyperlink" Target="http://fr.wikipedia.org/wiki/Ertvelde" TargetMode="External"/><Relationship Id="rId42" Type="http://schemas.openxmlformats.org/officeDocument/2006/relationships/hyperlink" Target="http://fr.wikipedia.org/wiki/%C3%89nergie_fossile" TargetMode="External"/><Relationship Id="rId47" Type="http://schemas.openxmlformats.org/officeDocument/2006/relationships/hyperlink" Target="http://fr.wikipedia.org/wiki/Empreinte_%C3%A9cologique" TargetMode="External"/><Relationship Id="rId50" Type="http://schemas.openxmlformats.org/officeDocument/2006/relationships/hyperlink" Target="http://fr.wikipedia.org/wiki/Efficacit%C3%A9_%C3%A9nerg%C3%A9tique" TargetMode="External"/><Relationship Id="rId55" Type="http://schemas.openxmlformats.org/officeDocument/2006/relationships/image" Target="media/image16.png"/><Relationship Id="rId63" Type="http://schemas.openxmlformats.org/officeDocument/2006/relationships/header" Target="header1.xml"/><Relationship Id="rId7" Type="http://schemas.openxmlformats.org/officeDocument/2006/relationships/hyperlink" Target="http://fr.wikipedia.org/wiki/Alcalin" TargetMode="External"/><Relationship Id="rId2" Type="http://schemas.openxmlformats.org/officeDocument/2006/relationships/styles" Target="styles.xml"/><Relationship Id="rId16" Type="http://schemas.openxmlformats.org/officeDocument/2006/relationships/image" Target="media/image2.emf"/><Relationship Id="rId29"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fr.wikipedia.org/wiki/Houille" TargetMode="External"/><Relationship Id="rId24" Type="http://schemas.openxmlformats.org/officeDocument/2006/relationships/image" Target="media/image7.jpeg"/><Relationship Id="rId32" Type="http://schemas.openxmlformats.org/officeDocument/2006/relationships/hyperlink" Target="http://fr.wikipedia.org/wiki/France" TargetMode="External"/><Relationship Id="rId37" Type="http://schemas.openxmlformats.org/officeDocument/2006/relationships/hyperlink" Target="http://fr.wikipedia.org/wiki/Br%C3%A9sil" TargetMode="External"/><Relationship Id="rId40" Type="http://schemas.openxmlformats.org/officeDocument/2006/relationships/hyperlink" Target="http://fr.wikipedia.org/wiki/2007" TargetMode="External"/><Relationship Id="rId45" Type="http://schemas.openxmlformats.org/officeDocument/2006/relationships/hyperlink" Target="http://fr.wikipedia.org/wiki/Dioxyde_de_carbone" TargetMode="External"/><Relationship Id="rId53" Type="http://schemas.openxmlformats.org/officeDocument/2006/relationships/image" Target="media/image14.png"/><Relationship Id="rId58" Type="http://schemas.openxmlformats.org/officeDocument/2006/relationships/image" Target="media/image19.png"/><Relationship Id="rId66"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hyperlink" Target="http://fr.wikipedia.org/wiki/Craquage_thermique" TargetMode="External"/><Relationship Id="rId23" Type="http://schemas.openxmlformats.org/officeDocument/2006/relationships/image" Target="media/image6.png"/><Relationship Id="rId28" Type="http://schemas.openxmlformats.org/officeDocument/2006/relationships/image" Target="media/image11.emf"/><Relationship Id="rId36" Type="http://schemas.openxmlformats.org/officeDocument/2006/relationships/hyperlink" Target="http://fr.wikipedia.org/wiki/Wandre" TargetMode="External"/><Relationship Id="rId49" Type="http://schemas.openxmlformats.org/officeDocument/2006/relationships/hyperlink" Target="http://fr.wikipedia.org/wiki/Efficacit%C3%A9_%C3%A9nerg%C3%A9tique" TargetMode="External"/><Relationship Id="rId57" Type="http://schemas.openxmlformats.org/officeDocument/2006/relationships/image" Target="media/image18.png"/><Relationship Id="rId61" Type="http://schemas.openxmlformats.org/officeDocument/2006/relationships/image" Target="media/image22.png"/><Relationship Id="rId10" Type="http://schemas.openxmlformats.org/officeDocument/2006/relationships/hyperlink" Target="http://fr.wikipedia.org/wiki/Mati%C3%A8re_organique" TargetMode="External"/><Relationship Id="rId19" Type="http://schemas.openxmlformats.org/officeDocument/2006/relationships/image" Target="media/image5.jpeg"/><Relationship Id="rId31" Type="http://schemas.openxmlformats.org/officeDocument/2006/relationships/hyperlink" Target="http://fr.wikipedia.org/wiki/Allemagne" TargetMode="External"/><Relationship Id="rId44" Type="http://schemas.openxmlformats.org/officeDocument/2006/relationships/hyperlink" Target="http://fr.wikipedia.org/wiki/Huile_v%C3%A9g%C3%A9tale_brute" TargetMode="External"/><Relationship Id="rId52" Type="http://schemas.openxmlformats.org/officeDocument/2006/relationships/image" Target="media/image13.png"/><Relationship Id="rId60" Type="http://schemas.openxmlformats.org/officeDocument/2006/relationships/image" Target="media/image21.png"/><Relationship Id="rId6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fr.wikipedia.org/wiki/Incin%C3%A9ration" TargetMode="External"/><Relationship Id="rId14" Type="http://schemas.openxmlformats.org/officeDocument/2006/relationships/image" Target="media/image1.emf"/><Relationship Id="rId22" Type="http://schemas.openxmlformats.org/officeDocument/2006/relationships/hyperlink" Target="http://fr.wikipedia.org/wiki/Lit_fluidis%C3%A9" TargetMode="External"/><Relationship Id="rId27" Type="http://schemas.openxmlformats.org/officeDocument/2006/relationships/image" Target="media/image10.emf"/><Relationship Id="rId30" Type="http://schemas.openxmlformats.org/officeDocument/2006/relationships/hyperlink" Target="http://fr.wikipedia.org/wiki/%C3%89tats-Unis" TargetMode="External"/><Relationship Id="rId35" Type="http://schemas.openxmlformats.org/officeDocument/2006/relationships/hyperlink" Target="http://fr.wikipedia.org/wiki/Feluy" TargetMode="External"/><Relationship Id="rId43" Type="http://schemas.openxmlformats.org/officeDocument/2006/relationships/hyperlink" Target="http://fr.wikipedia.org/wiki/%C3%89nergie_renouvelable" TargetMode="External"/><Relationship Id="rId48" Type="http://schemas.openxmlformats.org/officeDocument/2006/relationships/hyperlink" Target="http://fr.wikipedia.org/wiki/Efficacit%C3%A9_%C3%A9nerg%C3%A9tique" TargetMode="External"/><Relationship Id="rId56" Type="http://schemas.openxmlformats.org/officeDocument/2006/relationships/image" Target="media/image17.png"/><Relationship Id="rId64" Type="http://schemas.openxmlformats.org/officeDocument/2006/relationships/footer" Target="footer1.xml"/><Relationship Id="rId8" Type="http://schemas.openxmlformats.org/officeDocument/2006/relationships/hyperlink" Target="http://fr.wikipedia.org/wiki/Combustion" TargetMode="External"/><Relationship Id="rId51" Type="http://schemas.openxmlformats.org/officeDocument/2006/relationships/hyperlink" Target="http://fr.wikipedia.org/wiki/Huile_v%C3%A9g%C3%A9tale_carburant" TargetMode="External"/><Relationship Id="rId3" Type="http://schemas.openxmlformats.org/officeDocument/2006/relationships/settings" Target="settings.xml"/><Relationship Id="rId12" Type="http://schemas.openxmlformats.org/officeDocument/2006/relationships/hyperlink" Target="http://fr.wikipedia.org/wiki/Lignite" TargetMode="External"/><Relationship Id="rId17" Type="http://schemas.openxmlformats.org/officeDocument/2006/relationships/image" Target="media/image3.png"/><Relationship Id="rId25" Type="http://schemas.openxmlformats.org/officeDocument/2006/relationships/image" Target="media/image8.jpeg"/><Relationship Id="rId33" Type="http://schemas.openxmlformats.org/officeDocument/2006/relationships/hyperlink" Target="http://fr.wikipedia.org/wiki/Belgique" TargetMode="External"/><Relationship Id="rId38" Type="http://schemas.openxmlformats.org/officeDocument/2006/relationships/hyperlink" Target="http://fr.wikipedia.org/wiki/L%27Argentine" TargetMode="External"/><Relationship Id="rId46" Type="http://schemas.openxmlformats.org/officeDocument/2006/relationships/hyperlink" Target="http://fr.wikipedia.org/wiki/Photosynth%C3%A8se" TargetMode="External"/><Relationship Id="rId59" Type="http://schemas.openxmlformats.org/officeDocument/2006/relationships/image" Target="media/image20.png"/><Relationship Id="rId67" Type="http://schemas.openxmlformats.org/officeDocument/2006/relationships/theme" Target="theme/theme1.xml"/><Relationship Id="rId20" Type="http://schemas.openxmlformats.org/officeDocument/2006/relationships/hyperlink" Target="http://fr.wikipedia.org/wiki/Lit_fluidis%C3%A9" TargetMode="External"/><Relationship Id="rId41" Type="http://schemas.openxmlformats.org/officeDocument/2006/relationships/hyperlink" Target="http://fr.wikipedia.org/wiki/2008" TargetMode="External"/><Relationship Id="rId54" Type="http://schemas.openxmlformats.org/officeDocument/2006/relationships/image" Target="media/image15.png"/><Relationship Id="rId62" Type="http://schemas.openxmlformats.org/officeDocument/2006/relationships/image" Target="media/image23.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163</TotalTime>
  <Pages>46</Pages>
  <Words>13939</Words>
  <Characters>79456</Characters>
  <Application>Microsoft Office Word</Application>
  <DocSecurity>0</DocSecurity>
  <Lines>662</Lines>
  <Paragraphs>186</Paragraphs>
  <ScaleCrop>false</ScaleCrop>
  <HeadingPairs>
    <vt:vector size="2" baseType="variant">
      <vt:variant>
        <vt:lpstr>Titre</vt:lpstr>
      </vt:variant>
      <vt:variant>
        <vt:i4>1</vt:i4>
      </vt:variant>
    </vt:vector>
  </HeadingPairs>
  <TitlesOfParts>
    <vt:vector size="1" baseType="lpstr">
      <vt:lpstr/>
    </vt:vector>
  </TitlesOfParts>
  <Company>HOME</Company>
  <LinksUpToDate>false</LinksUpToDate>
  <CharactersWithSpaces>93209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MAELAAYNINE</dc:creator>
  <cp:lastModifiedBy>MALAININE</cp:lastModifiedBy>
  <cp:revision>3</cp:revision>
  <cp:lastPrinted>2011-02-07T01:24:00Z</cp:lastPrinted>
  <dcterms:created xsi:type="dcterms:W3CDTF">2011-02-20T19:32:00Z</dcterms:created>
  <dcterms:modified xsi:type="dcterms:W3CDTF">2011-02-22T19:09:00Z</dcterms:modified>
</cp:coreProperties>
</file>